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C6607">
      <w:pPr>
        <w:ind w:firstLine="560" w:firstLineChars="200"/>
        <w:jc w:val="center"/>
        <w:rPr>
          <w:rFonts w:hint="default" w:ascii="Times New Roman" w:hAnsi="Times New Roman" w:eastAsia="宋体" w:cs="Times New Roman"/>
          <w:sz w:val="28"/>
          <w:szCs w:val="28"/>
        </w:rPr>
      </w:pPr>
      <w:bookmarkStart w:id="2" w:name="_GoBack"/>
      <w:r>
        <w:rPr>
          <w:rFonts w:hint="default" w:ascii="Times New Roman" w:hAnsi="Times New Roman" w:eastAsia="宋体" w:cs="Times New Roman"/>
          <w:sz w:val="28"/>
          <w:szCs w:val="28"/>
        </w:rPr>
        <w:t>A Nomogram for Diagnosing Bile Acid Diarrhea Based on Postprandial Fecal Bile Acids and Serum FGF19</w:t>
      </w:r>
    </w:p>
    <w:bookmarkEnd w:id="2"/>
    <w:p w14:paraId="71DC8ACB">
      <w:pPr>
        <w:rPr>
          <w:rFonts w:hint="default" w:ascii="Times New Roman" w:hAnsi="Times New Roman" w:eastAsia="Times New Roman" w:cs="Times New Roman"/>
          <w:sz w:val="24"/>
          <w:szCs w:val="24"/>
        </w:rPr>
      </w:pPr>
    </w:p>
    <w:p w14:paraId="7D33998B">
      <w:pPr>
        <w:pStyle w:val="5"/>
        <w:keepNext w:val="0"/>
        <w:keepLines w:val="0"/>
        <w:widowControl/>
        <w:suppressLineNumbers w:val="0"/>
        <w:spacing w:before="0" w:beforeAutospacing="1" w:after="0" w:afterAutospacing="1"/>
        <w:rPr>
          <w:rFonts w:hint="eastAsia" w:ascii="Times New Roman" w:hAnsi="Times New Roman" w:cs="Times New Roman" w:eastAsiaTheme="minorEastAsia"/>
          <w:b w:val="0"/>
          <w:bCs/>
          <w:lang w:val="en-US" w:eastAsia="zh-CN"/>
        </w:rPr>
      </w:pPr>
      <w:r>
        <w:rPr>
          <w:rStyle w:val="10"/>
          <w:rFonts w:hint="default" w:ascii="Times New Roman" w:hAnsi="Times New Roman" w:cs="Times New Roman"/>
          <w:b w:val="0"/>
          <w:bCs/>
          <w:lang w:val="en-US"/>
        </w:rPr>
        <w:t xml:space="preserve">Yan Wang </w:t>
      </w:r>
      <w:r>
        <w:rPr>
          <w:rStyle w:val="10"/>
          <w:rFonts w:hint="default" w:ascii="Times New Roman" w:hAnsi="Times New Roman" w:cs="Times New Roman"/>
          <w:b w:val="0"/>
          <w:bCs/>
          <w:vertAlign w:val="superscript"/>
          <w:lang w:val="en-US"/>
        </w:rPr>
        <w:t xml:space="preserve">1, </w:t>
      </w:r>
      <w:r>
        <w:rPr>
          <w:rStyle w:val="10"/>
          <w:rFonts w:hint="eastAsia" w:ascii="Times New Roman" w:hAnsi="Times New Roman" w:cs="Times New Roman"/>
          <w:b w:val="0"/>
          <w:bCs/>
          <w:vertAlign w:val="superscript"/>
          <w:lang w:val="en-US" w:eastAsia="zh-CN"/>
        </w:rPr>
        <w:t>2</w:t>
      </w:r>
      <w:r>
        <w:rPr>
          <w:rStyle w:val="10"/>
          <w:rFonts w:hint="default" w:ascii="Times New Roman" w:hAnsi="Times New Roman" w:cs="Times New Roman"/>
          <w:b w:val="0"/>
          <w:bCs/>
          <w:lang w:val="en-US"/>
        </w:rPr>
        <w:t>, Dandan ZHANG</w:t>
      </w:r>
      <w:r>
        <w:rPr>
          <w:rStyle w:val="10"/>
          <w:rFonts w:hint="eastAsia" w:ascii="Times New Roman" w:hAnsi="Times New Roman" w:cs="Times New Roman"/>
          <w:b w:val="0"/>
          <w:bCs/>
          <w:vertAlign w:val="superscript"/>
          <w:lang w:val="en-US" w:eastAsia="zh-CN"/>
        </w:rPr>
        <w:t>2</w:t>
      </w:r>
      <w:r>
        <w:rPr>
          <w:rStyle w:val="10"/>
          <w:rFonts w:hint="eastAsia" w:ascii="Times New Roman" w:hAnsi="Times New Roman" w:cs="Times New Roman"/>
          <w:b w:val="0"/>
          <w:bCs/>
          <w:lang w:val="en-US" w:eastAsia="zh-CN"/>
        </w:rPr>
        <w:t>，</w:t>
      </w:r>
      <w:r>
        <w:rPr>
          <w:rStyle w:val="10"/>
          <w:rFonts w:hint="default" w:ascii="Times New Roman" w:hAnsi="Times New Roman" w:cs="Times New Roman"/>
          <w:b w:val="0"/>
          <w:bCs/>
          <w:lang w:val="en-US"/>
        </w:rPr>
        <w:t>Ting YU</w:t>
      </w:r>
      <w:r>
        <w:rPr>
          <w:rStyle w:val="10"/>
          <w:rFonts w:hint="eastAsia" w:ascii="Times New Roman" w:hAnsi="Times New Roman" w:cs="Times New Roman"/>
          <w:b w:val="0"/>
          <w:bCs/>
          <w:vertAlign w:val="superscript"/>
          <w:lang w:val="en-US" w:eastAsia="zh-CN"/>
        </w:rPr>
        <w:t>3</w:t>
      </w:r>
      <w:r>
        <w:rPr>
          <w:rStyle w:val="10"/>
          <w:rFonts w:hint="default" w:ascii="Times New Roman" w:hAnsi="Times New Roman" w:cs="Times New Roman"/>
          <w:b w:val="0"/>
          <w:bCs/>
          <w:lang w:val="en-US"/>
        </w:rPr>
        <w:t>, Longmei QIU</w:t>
      </w:r>
      <w:r>
        <w:rPr>
          <w:rStyle w:val="10"/>
          <w:rFonts w:hint="eastAsia" w:ascii="Times New Roman" w:hAnsi="Times New Roman" w:cs="Times New Roman"/>
          <w:b w:val="0"/>
          <w:bCs/>
          <w:vertAlign w:val="superscript"/>
          <w:lang w:val="en-US" w:eastAsia="zh-CN"/>
        </w:rPr>
        <w:t>2</w:t>
      </w:r>
      <w:r>
        <w:rPr>
          <w:rStyle w:val="10"/>
          <w:rFonts w:hint="eastAsia" w:ascii="Times New Roman" w:hAnsi="Times New Roman" w:cs="Times New Roman"/>
          <w:b w:val="0"/>
          <w:bCs/>
          <w:lang w:val="en-US" w:eastAsia="zh-CN"/>
        </w:rPr>
        <w:t>，</w:t>
      </w:r>
      <w:r>
        <w:rPr>
          <w:rStyle w:val="10"/>
          <w:rFonts w:hint="default" w:ascii="Times New Roman" w:hAnsi="Times New Roman" w:cs="Times New Roman"/>
          <w:b w:val="0"/>
          <w:bCs/>
          <w:lang w:val="en-US"/>
        </w:rPr>
        <w:t>Xueming TAN</w:t>
      </w:r>
      <w:r>
        <w:rPr>
          <w:rStyle w:val="10"/>
          <w:rFonts w:hint="eastAsia" w:ascii="Times New Roman" w:hAnsi="Times New Roman" w:cs="Times New Roman"/>
          <w:b w:val="0"/>
          <w:bCs/>
          <w:vertAlign w:val="superscript"/>
          <w:lang w:val="en-US" w:eastAsia="zh-CN"/>
        </w:rPr>
        <w:t>2</w:t>
      </w:r>
      <w:r>
        <w:rPr>
          <w:rStyle w:val="10"/>
          <w:rFonts w:hint="default" w:ascii="Times New Roman" w:hAnsi="Times New Roman" w:cs="Times New Roman"/>
          <w:b w:val="0"/>
          <w:bCs/>
          <w:vertAlign w:val="superscript"/>
          <w:lang w:val="en-US"/>
        </w:rPr>
        <w:t xml:space="preserve"> </w:t>
      </w:r>
      <w:r>
        <w:rPr>
          <w:rStyle w:val="10"/>
          <w:rFonts w:hint="default" w:ascii="Times New Roman" w:hAnsi="Times New Roman" w:cs="Times New Roman"/>
          <w:b w:val="0"/>
          <w:bCs/>
          <w:lang w:val="en-US"/>
        </w:rPr>
        <w:t>,Hong Chen</w:t>
      </w:r>
      <w:r>
        <w:rPr>
          <w:rStyle w:val="10"/>
          <w:rFonts w:hint="default" w:ascii="Times New Roman" w:hAnsi="Times New Roman" w:cs="Times New Roman"/>
          <w:b w:val="0"/>
          <w:bCs/>
          <w:vertAlign w:val="superscript"/>
          <w:lang w:val="en-US"/>
        </w:rPr>
        <w:t xml:space="preserve">1, </w:t>
      </w:r>
      <w:r>
        <w:rPr>
          <w:rStyle w:val="10"/>
          <w:rFonts w:hint="eastAsia" w:cs="Times New Roman"/>
          <w:b w:val="0"/>
          <w:bCs/>
          <w:vertAlign w:val="superscript"/>
          <w:lang w:val="en-US" w:eastAsia="zh-CN"/>
        </w:rPr>
        <w:t>2</w:t>
      </w:r>
    </w:p>
    <w:p w14:paraId="7E279706">
      <w:pPr>
        <w:pStyle w:val="5"/>
        <w:keepNext w:val="0"/>
        <w:keepLines w:val="0"/>
        <w:widowControl/>
        <w:numPr>
          <w:ilvl w:val="0"/>
          <w:numId w:val="0"/>
        </w:numPr>
        <w:suppressLineNumbers w:val="0"/>
        <w:spacing w:before="0" w:beforeAutospacing="1" w:after="0" w:afterAutospacing="1"/>
        <w:ind w:right="0" w:rightChars="0"/>
        <w:rPr>
          <w:rFonts w:hint="eastAsia" w:ascii="Times New Roman" w:hAnsi="Times New Roman" w:cs="Times New Roman"/>
          <w:b w:val="0"/>
          <w:bCs/>
          <w:lang w:val="en-US" w:eastAsia="zh-CN"/>
        </w:rPr>
      </w:pPr>
      <w:r>
        <w:rPr>
          <w:rFonts w:hint="eastAsia" w:ascii="Times New Roman" w:hAnsi="Times New Roman" w:cs="Times New Roman"/>
          <w:b w:val="0"/>
          <w:bCs/>
          <w:lang w:val="en-US" w:eastAsia="zh-CN"/>
        </w:rPr>
        <w:t>1.</w:t>
      </w:r>
      <w:r>
        <w:rPr>
          <w:rFonts w:hint="default" w:ascii="Times New Roman" w:hAnsi="Times New Roman" w:cs="Times New Roman"/>
          <w:b w:val="0"/>
          <w:bCs/>
          <w:lang w:val="en-US"/>
        </w:rPr>
        <w:t>Nanjing Medical University, Nanjing 211166, Jiangsu,People’s Republic of China</w:t>
      </w:r>
      <w:r>
        <w:rPr>
          <w:rFonts w:hint="eastAsia" w:ascii="Times New Roman" w:hAnsi="Times New Roman" w:cs="Times New Roman"/>
          <w:b w:val="0"/>
          <w:bCs/>
          <w:lang w:val="en-US" w:eastAsia="zh-CN"/>
        </w:rPr>
        <w:t>；2.Department of Gastroenterology, Zhongda Hospital, School of Medicine, Southeast University, Nanjing 210009, Jiangsu,People’s Republic of China；3.Zhongda Hospital, School of Medicine, Southeast University, Nanjing 210009, Jiangsu,People’s Republic of China；</w:t>
      </w:r>
    </w:p>
    <w:p w14:paraId="0E33076B">
      <w:p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Abstract</w:t>
      </w:r>
    </w:p>
    <w:p w14:paraId="56B05B6D">
      <w:pPr>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Background:</w:t>
      </w:r>
      <w:r>
        <w:rPr>
          <w:rFonts w:hint="default" w:ascii="Times New Roman" w:hAnsi="Times New Roman" w:eastAsia="Times New Roman" w:cs="Times New Roman"/>
          <w:sz w:val="24"/>
          <w:szCs w:val="24"/>
        </w:rPr>
        <w:t xml:space="preserve"> Bile acid diarrhea is a common cause of chronic diarrhea, but it is underdiagnosed clinically. Due to the lack of convenient diagnostic methods, the disease is rarely diagnosed in patients in China. The aim of this study is to explore the diagnostic value of postprandial fecal bile acid</w:t>
      </w:r>
      <w:r>
        <w:rPr>
          <w:rFonts w:hint="eastAsia" w:ascii="Times New Roman" w:hAnsi="Times New Roman" w:eastAsia="宋体" w:cs="Times New Roman"/>
          <w:sz w:val="24"/>
          <w:szCs w:val="24"/>
          <w:lang w:val="en-US" w:eastAsia="zh-CN"/>
        </w:rPr>
        <w:t>(FBA)</w:t>
      </w:r>
      <w:r>
        <w:rPr>
          <w:rFonts w:hint="default" w:ascii="Times New Roman" w:hAnsi="Times New Roman" w:eastAsia="Times New Roman" w:cs="Times New Roman"/>
          <w:sz w:val="24"/>
          <w:szCs w:val="24"/>
        </w:rPr>
        <w:t xml:space="preserve"> detection for bile acid diarrhea, and to establish a comprehensive diagnostic model.</w:t>
      </w:r>
    </w:p>
    <w:p w14:paraId="185113E2">
      <w:pPr>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Methods:</w:t>
      </w:r>
      <w:r>
        <w:rPr>
          <w:rFonts w:hint="default" w:ascii="Times New Roman" w:hAnsi="Times New Roman" w:eastAsia="Times New Roman" w:cs="Times New Roman"/>
          <w:sz w:val="24"/>
          <w:szCs w:val="24"/>
        </w:rPr>
        <w:t xml:space="preserve"> The study was conducted from January to December 2024. A total of 115 healthy volunteers and patients with IBS-D were enrolled. The total population was set as the training set, and 30% of the samples were randomly split as the internal validation set. Univariate and multivariate Logistic regression were used to identify independent predictors, based on which a nomogram model was constructed. Receiver operating characteristic (ROC) curve analysis, calibration curve analysis and decision curve analysis were used to comprehensively evaluate the discrimination ability, calibration degree and clinical net benefit of the nomogram.</w:t>
      </w:r>
    </w:p>
    <w:p w14:paraId="75072173">
      <w:pPr>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Results: In the training set</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Logistic regression analysis showed that</w:t>
      </w:r>
      <w:r>
        <w:rPr>
          <w:rFonts w:hint="default" w:ascii="Times New Roman" w:hAnsi="Times New Roman" w:eastAsia="Times New Roman" w:cs="Times New Roman"/>
          <w:sz w:val="24"/>
          <w:szCs w:val="24"/>
        </w:rPr>
        <w:t xml:space="preserve"> fecal bile acids after a fatty meal, serum FGF19, and Bristol stool type were all independent predictors of BAD. The area under the curve (AUC) of the prediction model in the training set was </w:t>
      </w:r>
      <w:r>
        <w:rPr>
          <w:rFonts w:hint="default" w:ascii="Times New Roman" w:hAnsi="Times New Roman" w:eastAsia="Times New Roman" w:cs="Times New Roman"/>
          <w:b/>
          <w:bCs/>
          <w:sz w:val="24"/>
          <w:szCs w:val="24"/>
        </w:rPr>
        <w:t>0.97</w:t>
      </w:r>
      <w:r>
        <w:rPr>
          <w:rFonts w:hint="default" w:ascii="Times New Roman" w:hAnsi="Times New Roman" w:eastAsia="Times New Roman" w:cs="Times New Roman"/>
          <w:sz w:val="24"/>
          <w:szCs w:val="24"/>
        </w:rPr>
        <w:t xml:space="preserve"> (95%CI: 0.94-1.00), and the AUC in the internal validation set was 0.89 (95%CI: 0.80-0.99). The calibration curve of the nomogram model showed that there was good agreement between the predicted probability and the actual probability. Clinical decision curve analysis further confirmed that the nomogram had good clinical application value.</w:t>
      </w:r>
    </w:p>
    <w:p w14:paraId="33F87955">
      <w:pPr>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Conclusions: The </w:t>
      </w:r>
      <w:r>
        <w:rPr>
          <w:rFonts w:hint="default" w:ascii="Times New Roman" w:hAnsi="Times New Roman" w:eastAsia="Times New Roman" w:cs="Times New Roman"/>
          <w:sz w:val="24"/>
          <w:szCs w:val="24"/>
        </w:rPr>
        <w:t>level of fecal bile acids</w:t>
      </w:r>
      <w:r>
        <w:rPr>
          <w:rFonts w:hint="eastAsia" w:ascii="Times New Roman" w:hAnsi="Times New Roman" w:eastAsia="宋体" w:cs="Times New Roman"/>
          <w:sz w:val="24"/>
          <w:szCs w:val="24"/>
          <w:lang w:val="en-US" w:eastAsia="zh-CN"/>
        </w:rPr>
        <w:t>(FBA)</w:t>
      </w:r>
      <w:r>
        <w:rPr>
          <w:rFonts w:hint="default" w:ascii="Times New Roman" w:hAnsi="Times New Roman" w:eastAsia="Times New Roman" w:cs="Times New Roman"/>
          <w:sz w:val="24"/>
          <w:szCs w:val="24"/>
        </w:rPr>
        <w:t xml:space="preserve"> after a fat meal was significantly higher in patients with BAD than in those without BAD (P &lt; 0.001). The nomogram model based on fecal bile acids after a fatty meal, serum FGF19 and Bristol stool type shows good clinical application potential in the diagnosis of BAD.</w:t>
      </w:r>
    </w:p>
    <w:p w14:paraId="6F4157AA">
      <w:pPr>
        <w:rPr>
          <w:rFonts w:hint="eastAsia" w:ascii="Times New Roman" w:hAnsi="Times New Roman" w:eastAsia="宋体" w:cs="Times New Roman"/>
          <w:sz w:val="24"/>
          <w:szCs w:val="24"/>
          <w:lang w:val="en-US" w:eastAsia="zh-CN"/>
        </w:rPr>
      </w:pPr>
      <w:r>
        <w:rPr>
          <w:rFonts w:hint="default" w:ascii="Times New Roman" w:hAnsi="Times New Roman" w:eastAsia="Times New Roman" w:cs="Times New Roman"/>
          <w:b/>
          <w:bCs/>
          <w:sz w:val="24"/>
          <w:szCs w:val="24"/>
        </w:rPr>
        <w:t>Keywords</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Times New Roman" w:cs="Times New Roman"/>
          <w:sz w:val="24"/>
          <w:szCs w:val="24"/>
        </w:rPr>
        <w:t>Bile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acids diarrhea</w:t>
      </w:r>
      <w:r>
        <w:rPr>
          <w:rFonts w:hint="eastAsia" w:ascii="Times New Roman" w:hAnsi="Times New Roman" w:eastAsia="宋体" w:cs="Times New Roman"/>
          <w:sz w:val="24"/>
          <w:szCs w:val="24"/>
          <w:lang w:val="en-US" w:eastAsia="zh-CN"/>
        </w:rPr>
        <w:t>,Irritable Bowel Syndrome with Diarrhea,</w:t>
      </w:r>
      <w:r>
        <w:rPr>
          <w:rFonts w:hint="default" w:ascii="Times New Roman" w:hAnsi="Times New Roman" w:eastAsia="Times New Roman" w:cs="Times New Roman"/>
          <w:sz w:val="24"/>
          <w:szCs w:val="24"/>
        </w:rPr>
        <w:t xml:space="preserve"> 7a-hydroxy-4-cholesten-3-one </w:t>
      </w:r>
      <w:r>
        <w:rPr>
          <w:rFonts w:hint="eastAsia" w:ascii="Times New Roman" w:hAnsi="Times New Roman" w:eastAsia="宋体" w:cs="Times New Roman"/>
          <w:sz w:val="24"/>
          <w:szCs w:val="24"/>
          <w:lang w:val="en-US" w:eastAsia="zh-CN"/>
        </w:rPr>
        <w:t>,</w:t>
      </w:r>
      <w:r>
        <w:rPr>
          <w:rFonts w:hint="default" w:ascii="Times New Roman" w:hAnsi="Times New Roman" w:eastAsia="Times New Roman" w:cs="Times New Roman"/>
          <w:sz w:val="24"/>
          <w:szCs w:val="24"/>
        </w:rPr>
        <w:t>Fibroblast growth factor19</w:t>
      </w:r>
      <w:r>
        <w:rPr>
          <w:rFonts w:hint="eastAsia" w:ascii="Times New Roman" w:hAnsi="Times New Roman" w:eastAsia="宋体" w:cs="Times New Roman"/>
          <w:sz w:val="24"/>
          <w:szCs w:val="24"/>
          <w:lang w:val="en-US" w:eastAsia="zh-CN"/>
        </w:rPr>
        <w:t>,</w:t>
      </w:r>
    </w:p>
    <w:p w14:paraId="2B234F0D">
      <w:pPr>
        <w:rPr>
          <w:rFonts w:hint="eastAsia" w:ascii="Times New Roman" w:hAnsi="Times New Roman" w:eastAsia="宋体" w:cs="Times New Roman"/>
          <w:sz w:val="24"/>
          <w:szCs w:val="24"/>
          <w:lang w:val="en-US" w:eastAsia="zh-CN"/>
        </w:rPr>
      </w:pPr>
      <w:r>
        <w:rPr>
          <w:rFonts w:hint="default" w:ascii="Times New Roman" w:hAnsi="Times New Roman" w:eastAsia="Times New Roman" w:cs="Times New Roman"/>
          <w:b/>
          <w:bCs/>
          <w:sz w:val="24"/>
          <w:szCs w:val="24"/>
        </w:rPr>
        <w:t>Abbreviations</w:t>
      </w:r>
      <w:r>
        <w:rPr>
          <w:rFonts w:hint="eastAsia" w:ascii="Times New Roman" w:hAnsi="Times New Roman" w:eastAsia="宋体" w:cs="Times New Roman"/>
          <w:b/>
          <w:bCs/>
          <w:sz w:val="24"/>
          <w:szCs w:val="24"/>
          <w:lang w:val="en-US" w:eastAsia="zh-CN"/>
        </w:rPr>
        <w:t>:</w:t>
      </w:r>
      <w:r>
        <w:rPr>
          <w:rFonts w:hint="default" w:ascii="Times New Roman" w:hAnsi="Times New Roman" w:eastAsia="Times New Roman" w:cs="Times New Roman"/>
          <w:sz w:val="24"/>
          <w:szCs w:val="24"/>
        </w:rPr>
        <w:t>BAD</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Bile acid diarrhoea</w:t>
      </w:r>
      <w:r>
        <w:rPr>
          <w:rFonts w:hint="eastAsia" w:ascii="Times New Roman" w:hAnsi="Times New Roman" w:eastAsia="宋体" w:cs="Times New Roman"/>
          <w:sz w:val="24"/>
          <w:szCs w:val="24"/>
          <w:lang w:val="en-US" w:eastAsia="zh-CN"/>
        </w:rPr>
        <w:t xml:space="preserve">;FBA </w:t>
      </w:r>
      <w:r>
        <w:rPr>
          <w:rFonts w:hint="default" w:ascii="Times New Roman" w:hAnsi="Times New Roman" w:eastAsia="Times New Roman" w:cs="Times New Roman"/>
          <w:color w:val="000000"/>
        </w:rPr>
        <w:t>fecal bile acid</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sz w:val="24"/>
          <w:szCs w:val="24"/>
          <w:lang w:val="en-US" w:eastAsia="zh-CN"/>
        </w:rPr>
        <w:t>FBA after FM Fecal Bile Acids after a Fat Meal;</w:t>
      </w:r>
      <w:r>
        <w:rPr>
          <w:rFonts w:hint="default" w:ascii="Times New Roman" w:hAnsi="Times New Roman" w:eastAsia="Times New Roman" w:cs="Times New Roman"/>
          <w:sz w:val="24"/>
          <w:szCs w:val="24"/>
        </w:rPr>
        <w:t>FGF19</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Fibroblast growth factor19</w:t>
      </w:r>
      <w:r>
        <w:rPr>
          <w:rFonts w:hint="eastAsia" w:ascii="Times New Roman" w:hAnsi="Times New Roman" w:eastAsia="宋体" w:cs="Times New Roman"/>
          <w:sz w:val="24"/>
          <w:szCs w:val="24"/>
          <w:lang w:val="en-US" w:eastAsia="zh-CN"/>
        </w:rPr>
        <w:t>;</w:t>
      </w:r>
      <w:r>
        <w:rPr>
          <w:rFonts w:hint="default" w:ascii="Times New Roman" w:hAnsi="Times New Roman" w:eastAsia="Times New Roman" w:cs="Times New Roman"/>
          <w:sz w:val="24"/>
          <w:szCs w:val="24"/>
        </w:rPr>
        <w:t>BMI</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Body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mass index</w:t>
      </w:r>
      <w:r>
        <w:rPr>
          <w:rFonts w:hint="eastAsia" w:ascii="Times New Roman" w:hAnsi="Times New Roman" w:eastAsia="宋体" w:cs="Times New Roman"/>
          <w:sz w:val="24"/>
          <w:szCs w:val="24"/>
          <w:lang w:val="en-US" w:eastAsia="zh-CN"/>
        </w:rPr>
        <w:t>;</w:t>
      </w:r>
      <w:r>
        <w:rPr>
          <w:rFonts w:hint="default" w:ascii="Times New Roman" w:hAnsi="Times New Roman" w:eastAsia="Times New Roman" w:cs="Times New Roman"/>
          <w:sz w:val="24"/>
          <w:szCs w:val="24"/>
        </w:rPr>
        <w:t>BAM</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Bile acid malabsorption</w:t>
      </w:r>
      <w:r>
        <w:rPr>
          <w:rFonts w:hint="eastAsia" w:ascii="Times New Roman" w:hAnsi="Times New Roman" w:eastAsia="宋体" w:cs="Times New Roman"/>
          <w:sz w:val="24"/>
          <w:szCs w:val="24"/>
          <w:lang w:val="en-US" w:eastAsia="zh-CN"/>
        </w:rPr>
        <w:t>;</w:t>
      </w:r>
    </w:p>
    <w:p w14:paraId="59B06203">
      <w:pPr>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rPr>
        <w:t>C4</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Times New Roman" w:cs="Times New Roman"/>
          <w:sz w:val="24"/>
          <w:szCs w:val="24"/>
        </w:rPr>
        <w:t>7A-hydroxy-4-cholesten-3-one</w:t>
      </w:r>
      <w:r>
        <w:rPr>
          <w:rFonts w:hint="eastAsia" w:ascii="Times New Roman" w:hAnsi="Times New Roman" w:eastAsia="宋体" w:cs="Times New Roman"/>
          <w:sz w:val="24"/>
          <w:szCs w:val="24"/>
          <w:lang w:val="en-US" w:eastAsia="zh-CN"/>
        </w:rPr>
        <w:t>;IBS-D diarrhea-predominant irritable bowel syndrome;BSFS Bristol Stool Form Scale;75SeHCAT 75selenium homocholic acid taurine</w:t>
      </w:r>
    </w:p>
    <w:p w14:paraId="076A6235">
      <w:pPr>
        <w:rPr>
          <w:rFonts w:hint="default" w:ascii="Times New Roman" w:hAnsi="Times New Roman" w:eastAsia="Times New Roman" w:cs="Times New Roman"/>
          <w:sz w:val="24"/>
          <w:szCs w:val="24"/>
        </w:rPr>
      </w:pPr>
    </w:p>
    <w:p w14:paraId="5E53862C">
      <w:pPr>
        <w:ind w:firstLine="480" w:firstLineChars="200"/>
        <w:rPr>
          <w:rFonts w:hint="default" w:ascii="Times New Roman" w:hAnsi="Times New Roman" w:eastAsia="宋体" w:cs="Times New Roman"/>
        </w:rPr>
      </w:pPr>
      <w:r>
        <w:rPr>
          <w:rFonts w:hint="eastAsia" w:ascii="Times New Roman" w:hAnsi="Times New Roman" w:eastAsia="宋体" w:cs="Times New Roman"/>
          <w:lang w:val="en-US" w:eastAsia="zh-CN"/>
        </w:rPr>
        <w:t>B</w:t>
      </w:r>
      <w:r>
        <w:rPr>
          <w:rFonts w:hint="default" w:ascii="Times New Roman" w:hAnsi="Times New Roman" w:eastAsia="Times New Roman" w:cs="Times New Roman"/>
        </w:rPr>
        <w:t xml:space="preserve">ile acid diarrhea </w:t>
      </w:r>
      <w:r>
        <w:rPr>
          <w:rFonts w:hint="eastAsia" w:ascii="Times New Roman" w:hAnsi="Times New Roman" w:eastAsia="宋体" w:cs="Times New Roman"/>
          <w:lang w:val="en-US" w:eastAsia="zh-CN"/>
        </w:rPr>
        <w:t>(</w:t>
      </w:r>
      <w:r>
        <w:rPr>
          <w:rFonts w:hint="default" w:ascii="Times New Roman" w:hAnsi="Times New Roman" w:eastAsia="Times New Roman" w:cs="Times New Roman"/>
        </w:rPr>
        <w:t>BAD</w:t>
      </w:r>
      <w:r>
        <w:rPr>
          <w:rFonts w:hint="eastAsia" w:ascii="Times New Roman" w:hAnsi="Times New Roman" w:eastAsia="宋体" w:cs="Times New Roman"/>
          <w:lang w:val="en-US" w:eastAsia="zh-CN"/>
        </w:rPr>
        <w:t>)</w:t>
      </w:r>
      <w:r>
        <w:rPr>
          <w:rFonts w:hint="default" w:ascii="Times New Roman" w:hAnsi="Times New Roman" w:eastAsia="Times New Roman" w:cs="Times New Roman"/>
        </w:rPr>
        <w:t>is a common type of chronic watery diarrhea, affecting about 1% of the total population</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{"citationID":"kJC23QFX","properties":{"formattedCitation":"\\super [1]\\nosupersub{}","plainCitation":"[1]","noteIndex":0},"citationItems":[{"id":53,"uris":["http://zotero.org/users/local/QMzx35VM/items/KILTDNYK","http://zotero.org/users/17452529/items/KILTDNYK"],"itemData":{"id":53,"type":"article-journal","container-title":"Gastroenterology","DOI":"10.1053/j.gastro.2018.11.069","ISSN":"00165085","issue":"5","journalAbbreviation":"Gastroenterology","language":"en","page":"1233-1238","source":"DOI.org (Crossref)","title":"Current Practice in the Diagnosis of Bile Acid Diarrhea","volume":"156","author":[{"family":"Vijayvargiya","given":"Priya"},{"family":"Camilleri","given":"Michael"}],"issued":{"date-parts":[["2019",4]]}}}],"schema":"https://github.com/citation-style-language/schema/raw/master/csl-citation.json"}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kern w:val="0"/>
          <w:vertAlign w:val="superscript"/>
        </w:rPr>
        <w:t>[1]</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w:t>
      </w:r>
      <w:r>
        <w:rPr>
          <w:rFonts w:hint="default" w:ascii="Times New Roman" w:hAnsi="Times New Roman" w:eastAsia="Times New Roman" w:cs="Times New Roman"/>
        </w:rPr>
        <w:t>Bile acid malabsorption (BAM)</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{"citationID":"jeQ3j4kv","properties":{"formattedCitation":"\\super [2]\\nosupersub{}","plainCitation":"[2]","noteIndex":0},"citationItems":[{"id":14,"uris":["http://zotero.org/users/local/QMzx35VM/items/FAG46FQV","http://zotero.org/users/17452529/items/FAG46FQV"],"itemData":{"id":14,"type":"article-journal","abstract":"Introduction: Bile acid diarrhea (BAD) commonly causes chronic diarrhea. Symptoms may be mistaken for disorders of gut brain interaction. Due to the lack of widely available diagnostic tests and poor recognition of BAD, there is a delay in diagnosis leading to increased healthcare system burden and decreased patient quality of life.","container-title":"Expert Review of Gastroenterology &amp; Hepatology","DOI":"10.1080/17474124.2023.2293814","ISSN":"1747-4124, 1747-4132","issue":"12","journalAbbreviation":"Expert Review of Gastroenterology &amp; Hepatology","language":"en","page":"1185-1195","source":"DOI.org (Crossref)","title":"Recent developments in diagnosing bile acid diarrhea","volume":"17","author":[{"family":"Lupianez-Merly","given":"Camille"},{"family":"Dilmaghani","given":"Saam"},{"family":"Camilleri","given":"Michael"}],"issued":{"date-parts":[["2023",12,2]]}}}],"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rPr>
        <w:t xml:space="preserve">is found in approximately 33% of </w:t>
      </w:r>
      <w:r>
        <w:rPr>
          <w:rFonts w:hint="default" w:ascii="Times New Roman" w:hAnsi="Times New Roman" w:eastAsia="宋体" w:cs="Times New Roman"/>
        </w:rPr>
        <w:fldChar w:fldCharType="end"/>
      </w:r>
      <w:r>
        <w:rPr>
          <w:rFonts w:hint="eastAsia" w:ascii="Times New Roman" w:hAnsi="Times New Roman" w:eastAsia="宋体" w:cs="Times New Roman"/>
          <w:sz w:val="24"/>
          <w:szCs w:val="24"/>
          <w:lang w:val="en-US" w:eastAsia="zh-CN"/>
        </w:rPr>
        <w:t>diarrhea-predominant irritable bowel syndrome(IBS-D)</w:t>
      </w:r>
      <w:r>
        <w:rPr>
          <w:rFonts w:hint="default" w:ascii="Times New Roman" w:hAnsi="Times New Roman" w:eastAsia="Times New Roman" w:cs="Times New Roman"/>
        </w:rPr>
        <w:t xml:space="preserve"> patients</w:t>
      </w:r>
      <w:r>
        <w:rPr>
          <w:rFonts w:hint="default" w:ascii="Times New Roman" w:hAnsi="Times New Roman" w:eastAsia="Times New Roman" w:cs="Times New Roman"/>
          <w:kern w:val="0"/>
          <w:vertAlign w:val="superscript"/>
        </w:rPr>
        <w:t>[2]</w:t>
      </w:r>
      <w:r>
        <w:rPr>
          <w:rFonts w:hint="default" w:ascii="Times New Roman" w:hAnsi="Times New Roman" w:eastAsia="Times New Roman" w:cs="Times New Roman"/>
        </w:rPr>
        <w:t xml:space="preserve"> .</w:t>
      </w:r>
      <w:r>
        <w:rPr>
          <w:rFonts w:hint="eastAsia" w:ascii="Times New Roman" w:hAnsi="Times New Roman" w:eastAsia="宋体" w:cs="Times New Roman"/>
          <w:lang w:val="en-US" w:eastAsia="zh-CN"/>
        </w:rPr>
        <w:t>BAD</w:t>
      </w:r>
      <w:r>
        <w:rPr>
          <w:rFonts w:hint="default" w:ascii="Times New Roman" w:hAnsi="Times New Roman" w:eastAsia="Times New Roman" w:cs="Times New Roman"/>
        </w:rPr>
        <w:t xml:space="preserve"> often affects people's lives. Studies have shown that in the Irritable Bowel Syndrome population, those with BAD are more likely to have more severe and frequent diarrhea, which seriously affects daily activities</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{"citationID":"07e13Acc","properties":{"formattedCitation":"\\super [3]\\nosupersub{}","plainCitation":"[3]","noteIndex":0},"citationItems":[{"id":63,"uris":["http://zotero.org/users/local/QMzx35VM/items/VPFPSMNL","http://zotero.org/users/17452529/items/VPFPSMNL"],"itemData":{"id":63,"type":"article-journal","abstract":"Background: Bile acid diarrhea (BAD) affects about a quarter of patients with irritable bowel syndrome with diarrhea (IBS-D).","container-title":"Clinical Gastroenterology and Hepatology","DOI":"10.1016/j.cgh.2021.11.035","ISSN":"15423565","issue":"9","journalAbbreviation":"Clinical Gastroenterology and Hepatology","language":"en","page":"2083-2090.e1","source":"DOI.org (Crossref)","title":"Impact of Bile Acid Diarrhea in Patients With Diarrhea-Predominant Irritable Bowel Syndrome on Symptoms and Quality of Life","volume":"20","author":[{"family":"BouSaba","given":"Joelle"},{"family":"Sannaa","given":"Wassel"},{"family":"McKinzie","given":"Sanna"},{"family":"Vijayvargiya","given":"Priya"},{"family":"Chedid","given":"Victor"},{"family":"Wang","given":"Xiao Jing"},{"family":"Atieh","given":"Jessica"},{"family":"Zheng","given":"Ting"},{"family":"Brandler","given":"Justin"},{"family":"Taylor","given":"Ann L."},{"family":"Busciglio","given":"Irene"},{"family":"Harmsen","given":"W. Scott"},{"family":"Camilleri","given":"Michael"}],"issued":{"date-parts":[["2022",9]]}}}],"schema":"https://github.com/citation-style-language/schema/raw/master/csl-citation.json"}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eastAsia="Times New Roman" w:cs="Times New Roman"/>
          <w:kern w:val="0"/>
          <w:vertAlign w:val="superscript"/>
        </w:rPr>
        <w:t>[3]</w:t>
      </w:r>
      <w:r>
        <w:rPr>
          <w:rFonts w:hint="default" w:ascii="Times New Roman" w:hAnsi="Times New Roman" w:cs="Times New Roman"/>
        </w:rPr>
        <w:fldChar w:fldCharType="end"/>
      </w:r>
      <w:r>
        <w:rPr>
          <w:rFonts w:hint="default" w:ascii="Times New Roman" w:hAnsi="Times New Roman" w:eastAsia="Times New Roman" w:cs="Times New Roman"/>
        </w:rPr>
        <w:t xml:space="preserve">. Based on the etiology, </w:t>
      </w:r>
      <w:r>
        <w:rPr>
          <w:rFonts w:hint="eastAsia" w:ascii="Times New Roman" w:hAnsi="Times New Roman" w:eastAsia="宋体" w:cs="Times New Roman"/>
          <w:lang w:val="en-US" w:eastAsia="zh-CN"/>
        </w:rPr>
        <w:t>BAD</w:t>
      </w:r>
      <w:r>
        <w:rPr>
          <w:rFonts w:hint="default" w:ascii="Times New Roman" w:hAnsi="Times New Roman" w:eastAsia="Times New Roman" w:cs="Times New Roman"/>
        </w:rPr>
        <w:t xml:space="preserve"> is classified into three major types: Type I - due to ileal disease or resection, resulting in impaired bile acid reabsorption; Type II - idiopathic, possibly related to low levels of fibroblast growth factor-19 (FGF19) in the ileum</w:t>
      </w:r>
      <w:r>
        <w:rPr>
          <w:rFonts w:hint="default" w:ascii="Times New Roman" w:hAnsi="Times New Roman" w:eastAsia="Times New Roman" w:cs="Times New Roman"/>
          <w:vertAlign w:val="superscript"/>
        </w:rPr>
        <w:t xml:space="preserve"> [4,5]</w:t>
      </w:r>
      <w:r>
        <w:rPr>
          <w:rFonts w:hint="default" w:ascii="Times New Roman" w:hAnsi="Times New Roman" w:eastAsia="Times New Roman" w:cs="Times New Roman"/>
        </w:rPr>
        <w:t>; or Type III - secondary to other diseases, such as small intestinal bacterial overgrowth, cholecystectomy, and chronic pancreatitis</w:t>
      </w:r>
      <w:r>
        <w:rPr>
          <w:rFonts w:hint="default" w:ascii="Times New Roman" w:hAnsi="Times New Roman" w:eastAsia="宋体" w:cs="Times New Roman"/>
          <w:color w:val="EE0000"/>
        </w:rPr>
        <w:fldChar w:fldCharType="begin"/>
      </w:r>
      <w:r>
        <w:rPr>
          <w:rFonts w:hint="default" w:ascii="Times New Roman" w:hAnsi="Times New Roman" w:eastAsia="宋体" w:cs="Times New Roman"/>
          <w:color w:val="EE0000"/>
        </w:rPr>
        <w:instrText xml:space="preserve"> ADDIN ZOTERO_ITEM CSL_CITATION {"citationID":"W7Un5t4j","properties":{"formattedCitation":"\\super [5]\\nosupersub{}","plainCitation":"[5]","noteIndex":0},"citationItems":[{"id":38,"uris":["http://zotero.org/users/17452529/items/Y9NXYMIS"],"itemData":{"id":38,"type":"article-journal","container-title":"Gut and Liver","DOI":"10.5009/gnl14397","ISSN":"1976-2283, 2005-1212","issue":"3","journalAbbreviation":"Gut Liver","language":"en","source":"DOI.org (Crossref)","title":"Bile Acid Diarrhea: Prevalence, Pathogenesis, and Therapy","title-short":"Bile Acid Diarrhea","URL":"http://www.gutnliver.org/journal/view.html?doi=10.5009/gnl14397","volume":"9","author":[{"family":"Camilleri","given":"Michael"}],"accessed":{"date-parts":[["2025",4,12]]},"issued":{"date-parts":[["2015",5,23]]}}}],"schema":"https://github.com/citation-style-language/schema/raw/master/csl-citation.json"} </w:instrText>
      </w:r>
      <w:r>
        <w:rPr>
          <w:rFonts w:hint="default" w:ascii="Times New Roman" w:hAnsi="Times New Roman" w:eastAsia="宋体" w:cs="Times New Roman"/>
          <w:color w:val="EE0000"/>
        </w:rPr>
        <w:fldChar w:fldCharType="separate"/>
      </w:r>
      <w:r>
        <w:rPr>
          <w:rFonts w:hint="default" w:ascii="Times New Roman" w:hAnsi="Times New Roman" w:cs="Times New Roman"/>
          <w:kern w:val="0"/>
          <w:vertAlign w:val="superscript"/>
        </w:rPr>
        <w:t>[5]</w:t>
      </w:r>
      <w:r>
        <w:rPr>
          <w:rFonts w:hint="default" w:ascii="Times New Roman" w:hAnsi="Times New Roman" w:eastAsia="宋体" w:cs="Times New Roman"/>
          <w:color w:val="EE0000"/>
        </w:rPr>
        <w:fldChar w:fldCharType="end"/>
      </w:r>
      <w:r>
        <w:rPr>
          <w:rFonts w:hint="eastAsia" w:ascii="Times New Roman" w:hAnsi="Times New Roman" w:eastAsia="宋体" w:cs="Times New Roman"/>
          <w:color w:val="EE0000"/>
          <w:lang w:val="en-US" w:eastAsia="zh-CN"/>
        </w:rPr>
        <w:t>.</w:t>
      </w:r>
      <w:r>
        <w:rPr>
          <w:rFonts w:hint="default" w:ascii="Times New Roman" w:hAnsi="Times New Roman" w:eastAsia="Times New Roman" w:cs="Times New Roman"/>
        </w:rPr>
        <w:t>Currently</w:t>
      </w:r>
      <w:r>
        <w:rPr>
          <w:rFonts w:hint="default" w:ascii="Times New Roman" w:hAnsi="Times New Roman" w:eastAsia="Times New Roman" w:cs="Times New Roman"/>
          <w:color w:val="000000"/>
        </w:rPr>
        <w:t xml:space="preserve">, the </w:t>
      </w:r>
      <w:r>
        <w:rPr>
          <w:rFonts w:hint="default" w:ascii="Times New Roman" w:hAnsi="Times New Roman" w:eastAsia="Times New Roman" w:cs="Times New Roman"/>
        </w:rPr>
        <w:t>gold standard for the clinical diagnosis of BAD is</w:t>
      </w:r>
      <w:r>
        <w:rPr>
          <w:rFonts w:hint="default" w:ascii="Times New Roman" w:hAnsi="Times New Roman" w:eastAsia="宋体" w:cs="Times New Roman"/>
          <w:lang w:val="en-US" w:eastAsia="zh-CN"/>
        </w:rPr>
        <w:t xml:space="preserve"> the</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{"citationID":"B3kCTooH","properties":{"formattedCitation":"\\super [6]\\nosupersub{}","plainCitation":"[6]","noteIndex":0},"citationItems":[{"id":65,"uris":["http://zotero.org/users/local/QMzx35VM/items/H23ALEM2","http://zotero.org/users/17452529/items/H23ALEM2"],"itemData":{"id":65,"type":"article-journal","container-title":"Clinical Gastroenterology and Hepatology","DOI":"10.1016/j.cgh.2019.10.031","ISSN":"15423565","issue":"1","journalAbbreviation":"Clinical Gastroenterology and Hepatology","language":"en","page":"45-47","source":"DOI.org (Crossref)","title":"Good News about BAD","volume":"18","author":[{"family":"Schiller","given":"Lawrence R."}],"issued":{"date-parts":[["2020",1]]}}}],"schema":"https://github.com/citation-style-language/schema/raw/master/csl-citation.json"}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kern w:val="0"/>
          <w:vertAlign w:val="superscript"/>
        </w:rPr>
        <w:t xml:space="preserve">  </w:t>
      </w:r>
      <w:r>
        <w:rPr>
          <w:rFonts w:hint="default" w:ascii="Times New Roman" w:hAnsi="Times New Roman" w:eastAsia="Times New Roman" w:cs="Times New Roman"/>
        </w:rPr>
        <w:t>75-selenium homocholic acid taurine test, which is achieved</w:t>
      </w:r>
      <w:r>
        <w:rPr>
          <w:rFonts w:hint="default" w:ascii="Times New Roman" w:hAnsi="Times New Roman" w:eastAsia="宋体" w:cs="Times New Roman"/>
        </w:rPr>
        <w:fldChar w:fldCharType="end"/>
      </w:r>
      <w:r>
        <w:rPr>
          <w:rFonts w:hint="default" w:ascii="Times New Roman" w:hAnsi="Times New Roman" w:eastAsia="Times New Roman" w:cs="Times New Roman"/>
        </w:rPr>
        <w:t xml:space="preserve"> by measuring the retention rate of selenium labeled high taurine throughout the body over a 7-day period</w:t>
      </w:r>
      <w:r>
        <w:rPr>
          <w:rFonts w:hint="default" w:ascii="Times New Roman" w:hAnsi="Times New Roman" w:eastAsia="Times New Roman" w:cs="Times New Roman"/>
          <w:kern w:val="0"/>
          <w:vertAlign w:val="superscript"/>
        </w:rPr>
        <w:t>[6]</w:t>
      </w:r>
      <w:r>
        <w:rPr>
          <w:rFonts w:hint="default" w:ascii="Times New Roman" w:hAnsi="Times New Roman" w:eastAsia="Times New Roman" w:cs="Times New Roman"/>
        </w:rPr>
        <w:t>. However, this method exposes patients to radiation and requires high equipment conditions, which makes it difficult to be popularized in clinical practice</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{"citationID":"O212WHBP","properties":{"formattedCitation":"\\super [2]\\nosupersub{}","plainCitation":"[2]","noteIndex":0},"citationItems":[{"id":14,"uris":["http://zotero.org/users/local/QMzx35VM/items/FAG46FQV","http://zotero.org/users/17452529/items/FAG46FQV"],"itemData":{"id":14,"type":"article-journal","abstract":"Introduction: Bile acid diarrhea (BAD) commonly causes chronic diarrhea. Symptoms may be mistaken for disorders of gut brain interaction. Due to the lack of widely available diagnostic tests and poor recognition of BAD, there is a delay in diagnosis leading to increased healthcare system burden and decreased patient quality of life.","container-title":"Expert Review of Gastroenterology &amp; Hepatology","DOI":"10.1080/17474124.2023.2293814","ISSN":"1747-4124, 1747-4132","issue":"12","journalAbbreviation":"Expert Review of Gastroenterology &amp; Hepatology","language":"en","page":"1185-1195","source":"DOI.org (Crossref)","title":"Recent developments in diagnosing bile acid diarrhea","volume":"17","author":[{"family":"Lupianez-Merly","given":"Camille"},{"family":"Dilmaghani","given":"Saam"},{"family":"Camilleri","given":"Michael"}],"issued":{"date-parts":[["2023",12,2]]}}}],"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kern w:val="0"/>
          <w:vertAlign w:val="superscript"/>
        </w:rPr>
        <w:t>[2]</w:t>
      </w:r>
      <w:r>
        <w:rPr>
          <w:rFonts w:hint="default" w:ascii="Times New Roman" w:hAnsi="Times New Roman" w:eastAsia="宋体" w:cs="Times New Roman"/>
        </w:rPr>
        <w:fldChar w:fldCharType="end"/>
      </w:r>
      <w:r>
        <w:rPr>
          <w:rFonts w:hint="default" w:ascii="Times New Roman" w:hAnsi="Times New Roman" w:eastAsia="Times New Roman" w:cs="Times New Roman"/>
        </w:rPr>
        <w:t>. 48-hour fecal total bile acid testing can also be used as a diagnostic criterion, but it is cumbersome and requires 48 stool samples collected after 4 days of a 100-g fat diet to measure total or primary/secondary bile acid content</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{"citationID":"WW9lDnh5","properties":{"formattedCitation":"\\super [7]\\nosupersub{}","plainCitation":"[7]","noteIndex":0},"citationItems":[{"id":100,"uris":["http://zotero.org/users/17452529/items/799X83K3"],"itemData":{"id":100,"type":"article-journal","abstract":"Background—Increased fecal bile acid excretion (IBAX) occurs in a third of patients with functional diarrhea.","container-title":"Digestive Diseases and Sciences","DOI":"10.1007/s10620-021-06993-5","ISSN":"0163-2116, 1573-2568","issue":"6","journalAbbreviation":"Dig Dis Sci","language":"en","page":"2413-2419","source":"DOI.org (Crossref)","title":"Increased Fecal Bile Acid Excretion in a Significant Subset of Patients with Other Inflammatory Diarrheal Diseases","volume":"67","author":[{"family":"Vijayvargiya","given":"Priya"},{"family":"Gonzalez Izundegui","given":"Daniel"},{"family":"Calderon","given":"Gerardo"},{"family":"Tawfic","given":"Sarah"},{"family":"Batbold","given":"Sarah"},{"family":"Saifuddin","given":"Hiba"},{"family":"Duggan","given":"Patrick"},{"family":"Melo","given":"Valeria"},{"family":"Thomas","given":"Taylor"},{"family":"Heeney","given":"Megan"},{"family":"Beyde","given":"Adrian"},{"family":"Miller","given":"James"},{"family":"Valles","given":"Kenneth"},{"family":"Oyemade","given":"Kafayat"},{"family":"Brant","given":"Joseph F."},{"family":"Atieh","given":"Jessica"},{"family":"Donato","given":"Leslie J."},{"family":"Camilleri","given":"Michael"}],"issued":{"date-parts":[["2022",6]]}}}],"schema":"https://github.com/citation-style-language/schema/raw/master/csl-citation.json"}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kern w:val="0"/>
          <w:vertAlign w:val="superscript"/>
        </w:rPr>
        <w:t>[7]</w:t>
      </w:r>
      <w:r>
        <w:rPr>
          <w:rFonts w:hint="default" w:ascii="Times New Roman" w:hAnsi="Times New Roman" w:eastAsia="宋体" w:cs="Times New Roman"/>
        </w:rPr>
        <w:fldChar w:fldCharType="end"/>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{"citationID":"WAbd63Eq","properties":{"formattedCitation":"\\super [8]\\nosupersub{}","plainCitation":"[8]","noteIndex":0},"citationItems":[{"id":93,"uris":["http://zotero.org/users/17452529/items/8Q6CC9YF"],"itemData":{"id":93,"type":"article-journal","abstract":"Bile Acid Diarrhea (BAD) is a common cause of chronic diarrhea, often accompanied by urgency, occasional fecal incontinence, abdominal pain, and fatigue. A nationwide survey has shown limited awareness of BAD within the Italian medical community, prompting a panel of experts to develop a Position Paper that outlines the most practical and cost-saving diagnostic investigations and treatments for this frequently overlooked condition. The document provides an overview of the epidemiology, pathophysiology, clinical manifestations, and classiﬁcation of the different types of Bile Acid Diarrhea (BAD). A key focus is the diagnostic approach to identifying and managing the many undiagnosed BAD patients in both primary care and specialized medical settings. Finally, the paper addresses the optimal therapeutic strategies for BAD, including traditional bile acid sequestrants and newer, promising treatments.","container-title":"Digestive and Liver Disease","DOI":"10.1016/j.dld.2024.12.019","ISSN":"15908658","issue":"3","journalAbbreviation":"Digestive and Liver Disease","language":"en","page":"680-687","source":"DOI.org (Crossref)","title":"Bile acid diarrhea in patients with chronic diarrhea. Current appraisal and recommendations for clinical practice","volume":"57","author":[{"family":"Barbara","given":"Giovanni"},{"family":"Bellini","given":"Massimo"},{"family":"Portincasa","given":"Piero"},{"family":"Stanghellini","given":"Vincenzo"},{"family":"Annibale","given":"Bruno"},{"family":"Benedetti","given":"Antonio"},{"family":"Cammarota","given":"Giovanni"},{"family":"Fries","given":"Walter"},{"family":"Usai Satta","given":"Paola"},{"family":"Corazziari","given":"Enrico Stefano"}],"issued":{"date-parts":[["2025",3]]}}}],"schema":"https://github.com/citation-style-language/schema/raw/master/csl-citation.json"}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rPr>
        <w:t>which</w:t>
      </w:r>
      <w:r>
        <w:rPr>
          <w:rFonts w:hint="default" w:ascii="Times New Roman" w:hAnsi="Times New Roman" w:eastAsia="宋体" w:cs="Times New Roman"/>
        </w:rPr>
        <w:fldChar w:fldCharType="end"/>
      </w:r>
      <w:r>
        <w:rPr>
          <w:rFonts w:hint="default" w:ascii="Times New Roman" w:hAnsi="Times New Roman" w:eastAsia="Times New Roman" w:cs="Times New Roman"/>
        </w:rPr>
        <w:t xml:space="preserve"> is currently available in only a few laboratories</w:t>
      </w:r>
      <w:r>
        <w:rPr>
          <w:rFonts w:hint="default" w:ascii="Times New Roman" w:hAnsi="Times New Roman" w:eastAsia="Times New Roman" w:cs="Times New Roman"/>
          <w:kern w:val="0"/>
          <w:vertAlign w:val="superscript"/>
        </w:rPr>
        <w:t>[8]</w:t>
      </w:r>
      <w:r>
        <w:rPr>
          <w:rFonts w:hint="default" w:ascii="Times New Roman" w:hAnsi="Times New Roman" w:eastAsia="Times New Roman" w:cs="Times New Roman"/>
        </w:rPr>
        <w:t>. Canadian guidelines recommend testing for a serum 7α-hydroxy-4-cholesterol-3-one (C4) test to identify BAD in patients with chronic diarrhea</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{"citationID":"WcKuv9oW","properties":{"formattedCitation":"\\super [9]\\nosupersub{}","plainCitation":"[9]","noteIndex":0},"citationItems":[{"id":16,"uris":["http://zotero.org/users/local/QMzx35VM/items/NQQLJ7GF","http://zotero.org/users/17452529/items/NQQLJ7GF"],"itemData":{"id":16,"type":"article-journal","abstract":"BACKGROUND &amp; AIMS: Chronic diarrhea affects about 5% of the population overall. Altered bile acid metabolism is a common but frequently undiagnosed cause.\nMETHODS: We performed a systematic search of publication databases for studies of assessment and management of bile acid diarrhea (BAD). The certainty (quality) of evidence and strength of recommendations were rated according to the Grading of Recommendation Assessment, Development and Evaluation approach. Patient population, intervention, comparator, and outcome questions were developed through an iterative process and were voted on by a group of specialists.\nRESULTS: The certainty of evidence was generally rated as very low. Therefore, 16 of 17 recommendations are conditional. In patients with chronic diarrhea, consideration of risk factors (terminal ileal resection, cholecystectomy, or abdominal radiotherapy), but not additional symptoms, was recommended for identiﬁcation of patients with possible BAD. The group suggested testing using 75selenium homocholic acid taurine (where available) or 7a-hydroxy-4-cholesten-3-one, including patients with irritable bowel syndrome with diarrhea, functional diarrhea, and Crohn’s disease without inﬂammation. Testing was suggested over empiric bile acid sequestrant therapy (BAST). Once remediable causes are managed, the group suggested cholestyramine as initial therapy, with alternate BAST when tolerability is an issue. The group suggested against BAST for patients with extensive ileal Crohn’s disease or resection and suggested alternative antidiarrheal agents if BAST is not tolerated. Maintenance BAST should be given at the lowest effective dose, with a trial of intermittent, on-demand administration, concurrent medication review, and reinvestigation for patients whose symptoms persist despite BAST.\nCONCLUSIONS: Based on a systematic review, BAD should be considered for patients with chronic diarrhea. For patients with positive results from tests for BAD, a trial of BAST, initially with cholestyramine, is suggested.","container-title":"Clinical Gastroenterology and Hepatology","DOI":"10.1016/j.cgh.2019.08.062","ISSN":"15423565","issue":"1","journalAbbreviation":"Clinical Gastroenterology and Hepatology","language":"en","page":"24-41.e1","source":"DOI.org (Crossref)","title":"Canadian Association of Gastroenterology Clinical Practice Guideline on the Management of Bile Acid Diarrhea","volume":"18","author":[{"family":"Sadowski","given":"Daniel C."},{"family":"Camilleri","given":"Michael"},{"family":"Chey","given":"William D."},{"family":"Leontiadis","given":"Grigorios I."},{"family":"Marshall","given":"John K."},{"family":"Shaffer","given":"Eldon A."},{"family":"Tse","given":"Frances"},{"family":"Walters","given":"Julian R.F."}],"issued":{"date-parts":[["2020",1]]}}}],"schema":"https://github.com/citation-style-language/schema/raw/master/csl-citation.json"}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Times New Roman" w:cs="Times New Roman"/>
          <w:kern w:val="0"/>
          <w:vertAlign w:val="superscript"/>
        </w:rPr>
        <w:t>[9]</w:t>
      </w:r>
      <w:r>
        <w:rPr>
          <w:rFonts w:hint="default" w:ascii="Times New Roman" w:hAnsi="Times New Roman" w:eastAsia="宋体" w:cs="Times New Roman"/>
        </w:rPr>
        <w:fldChar w:fldCharType="end"/>
      </w:r>
      <w:r>
        <w:rPr>
          <w:rFonts w:hint="default" w:ascii="Times New Roman" w:hAnsi="Times New Roman" w:eastAsia="Times New Roman" w:cs="Times New Roman"/>
        </w:rPr>
        <w:t xml:space="preserve">. However, C4 detection requires high performance liquid chromatography-mass spectrometry, which </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ADDIN ZOTERO_ITEM CSL_CITATION {"citationID":"Q81hv2cs","properties":{"formattedCitation":"\\super [2]\\nosupersub{}","plainCitation":"[2]","noteIndex":0},"citationItems":[{"id":14,"uris":["http://zotero.org/users/local/QMzx35VM/items/FAG46FQV","http://zotero.org/users/17452529/items/FAG46FQV"],"itemData":{"id":14,"type":"article-journal","abstract":"Introduction: Bile acid diarrhea (BAD) commonly causes chronic diarrhea. Symptoms may be mistaken for disorders of gut brain interaction. Due to the lack of widely available diagnostic tests and poor recognition of BAD, there is a delay in diagnosis leading to increased healthcare system burden and decreased patient quality of life.","container-title":"Expert Review of Gastroenterology &amp; Hepatology","DOI":"10.1080/17474124.2023.2293814","ISSN":"1747-4124, 1747-4132","issue":"12","journalAbbreviation":"Expert Review of Gastroenterology &amp; Hepatology","language":"en","page":"1185-1195","source":"DOI.org (Crossref)","title":"Recent developments in diagnosing bile acid diarrhea","volume":"17","author":[{"family":"Lupianez-Merly","given":"Camille"},{"family":"Dilmaghani","given":"Saam"},{"family":"Camilleri","given":"Michael"}],"issued":{"date-parts":[["2023",12,2]]}}}],"schema":"https://github.com/citation-style-language/schema/raw/master/csl-citation.json"} </w:instrText>
      </w:r>
      <w:r>
        <w:rPr>
          <w:rFonts w:hint="default" w:ascii="Times New Roman" w:hAnsi="Times New Roman" w:eastAsia="宋体" w:cs="Times New Roman"/>
        </w:rPr>
        <w:fldChar w:fldCharType="separate"/>
      </w:r>
      <w:r>
        <w:rPr>
          <w:rFonts w:hint="default" w:ascii="Times New Roman" w:hAnsi="Times New Roman" w:eastAsia="宋体" w:cs="Times New Roman"/>
        </w:rPr>
        <w:fldChar w:fldCharType="end"/>
      </w:r>
      <w:r>
        <w:rPr>
          <w:rFonts w:hint="default" w:ascii="Times New Roman" w:hAnsi="Times New Roman" w:eastAsia="Times New Roman" w:cs="Times New Roman"/>
        </w:rPr>
        <w:t>also limits its clinical application due to high equipment requirements and high cost</w:t>
      </w:r>
      <w:r>
        <w:rPr>
          <w:rFonts w:hint="default" w:ascii="Times New Roman" w:hAnsi="Times New Roman" w:eastAsia="Times New Roman" w:cs="Times New Roman"/>
          <w:kern w:val="0"/>
          <w:vertAlign w:val="superscript"/>
        </w:rPr>
        <w:t>[2]</w:t>
      </w:r>
      <w:r>
        <w:rPr>
          <w:rFonts w:hint="default" w:ascii="Times New Roman" w:hAnsi="Times New Roman" w:eastAsia="Times New Roman" w:cs="Times New Roman"/>
        </w:rPr>
        <w:t xml:space="preserve"> .</w:t>
      </w:r>
      <w:r>
        <w:rPr>
          <w:rFonts w:hint="default" w:ascii="Times New Roman" w:hAnsi="Times New Roman" w:eastAsia="Times New Roman" w:cs="Times New Roman"/>
          <w:color w:val="000000" w:themeColor="text1"/>
          <w14:textFill>
            <w14:solidFill>
              <w14:schemeClr w14:val="tx1"/>
            </w14:solidFill>
          </w14:textFill>
        </w:rPr>
        <w:t>Serum FGF19 is a hormone released by ileal cells in response to the activation of nuclear farnesoid X receptor by bile acids, which can provide negative feedback regulation</w:t>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ADDIN ZOTERO_ITEM CSL_CITATION {"citationID":"uCLs1iID","properties":{"formattedCitation":"\\super [10,11]\\nosupersub{}","plainCitation":"[10,11]","noteIndex":0},"citationItems":[{"id":68,"uris":["http://zotero.org/users/local/QMzx35VM/items/3QZDW6BW","http://zotero.org/users/17452529/items/3QZDW6BW"],"itemData":{"id":68,"type":"article-journal","abstract":"BACKGROUND: A valid biomarker is 'an indicator of normal biologic or pathogenic processes, or pharmacological responses to a therapeutic intervention'. There is no validated biomarker for irritable bowel syndrome (IBS). The aim of the study was to assess ability of three quantitative traits to identify treatable processes to discriminate between IBS-diarrhea (IBS-D) patients, IBS-constipation (IBS-C) patients and healthy volunteers (HV).\nMETHODS: In 30 HV, 30 IBS-C patients and 64 IBS-D patients, we characterized bowel symptoms and quantitated pathophysiological mechanisms: bile acid (BA) synthesis (serum C4 and FGF19), fecal BA and fat, colonic transit (CT), and intestinal permeability (IP). We used multiple logistic regression and receiver-operating characteristic (ROCAUC ) to appraise three factors (fecal BA, CT, and IP) individually and in combination to identify discriminant targets for treatment in IBS.\nKEY RESULTS: There were significant associations between the three subgroups and symptoms reflecting bowel function and the quantitative traits. There were significant associations between fecal BA and CT at 48 h (r = 0.43; p &lt; 0.001) and between fecal BA and IP (r = 0.23; p = 0.015). Individually, fecal BA and CT48 (but not IP) were significant independent predictors for distinguishing HV from IBS. In combination, they discriminated HV from IBS-D patients (ROCAUC 0.70), HV from IBS-C patients (ROCAUC 0.73), and IBS-C patients from IBS-D patients (ROCAUC 0.86). Colonic transit and fecal BA excretion together discriminate between healthy volunteers and IBS-C patients or IBS-D patients, or between the IBS subgroups with 75-90% specificity at 60% sensitivity.\nCONCLUSIONS &amp; INFERENCES: Colonic transit and fecal BA individually and together constitute useful biomarkers to identify treatable mechanisms in IBS and to differentiate subgroups of IBS.","container-title":"Neurogastroenterology and Motility","DOI":"10.1111/nmo.12421","ISSN":"1365-2982","issue":"12","journalAbbreviation":"Neurogastroenterol Motil","language":"eng","note":"PMID: 25244349\nPMCID: PMC4245393","page":"1677-1685","source":"PubMed","title":"Validating biomarkers of treatable mechanisms in irritable bowel syndrome","volume":"26","author":[{"family":"Camilleri","given":"M."},{"family":"Shin","given":"A."},{"family":"Busciglio","given":"I."},{"family":"Carlson","given":"P."},{"family":"Acosta","given":"A."},{"family":"Bharucha","given":"A. E."},{"family":"Burton","given":"D."},{"family":"Lamsam","given":"J."},{"family":"Lueke","given":"A."},{"family":"Donato","given":"L. J."},{"family":"Zinsmeister","given":"A. R."}],"issued":{"date-parts":[["2014",12]]}},"label":"page"},{"id":71,"uris":["http://zotero.org/users/local/QMzx35VM/items/I926EXSH","http://zotero.org/users/17452529/items/I926EXSH"],"itemData":{"id":71,"type":"webpage","title":"Bowel functions, fecal unconjugated primary and secondary bile acids, and colonic transit in patients with irritable bowel syndrome - PubMed","URL":"https://pubmed.ncbi.nlm.nih.gov/23639599/","accessed":{"date-parts":[["2025",4,27]]}},"label":"page"}],"schema":"https://github.com/citation-style-language/schema/raw/master/csl-citation.json"}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eastAsia="Times New Roman" w:cs="Times New Roman"/>
          <w:color w:val="000000" w:themeColor="text1"/>
          <w14:textFill>
            <w14:solidFill>
              <w14:schemeClr w14:val="tx1"/>
            </w14:solidFill>
          </w14:textFill>
        </w:rPr>
        <w:t xml:space="preserve"> for bile acid synthesis in hepatocytes</w:t>
      </w:r>
      <w:r>
        <w:rPr>
          <w:rFonts w:hint="default" w:ascii="Times New Roman" w:hAnsi="Times New Roman" w:eastAsia="Times New Roman" w:cs="Times New Roman"/>
          <w:color w:val="000000" w:themeColor="text1"/>
          <w:kern w:val="0"/>
          <w:vertAlign w:val="superscript"/>
          <w14:textFill>
            <w14:solidFill>
              <w14:schemeClr w14:val="tx1"/>
            </w14:solidFill>
          </w14:textFill>
        </w:rPr>
        <w:t>[10,11]</w:t>
      </w:r>
      <w:r>
        <w:rPr>
          <w:rFonts w:hint="default" w:ascii="Times New Roman" w:hAnsi="Times New Roman" w:eastAsia="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eastAsia="Times New Roman" w:cs="Times New Roman"/>
          <w:color w:val="000000" w:themeColor="text1"/>
          <w14:textFill>
            <w14:solidFill>
              <w14:schemeClr w14:val="tx1"/>
            </w14:solidFill>
          </w14:textFill>
        </w:rPr>
        <w:t>In general, bile acid absorption is accompanied by an increase in serum FGF19 and a decrease</w:t>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ADDIN ZOTERO_ITEM CSL_CITATION {"citationID":"bWDUCMmW","properties":{"formattedCitation":"\\super [12]\\nosupersub{}","plainCitation":"[12]","noteIndex":0},"citationItems":[{"id":104,"uris":["http://zotero.org/users/17452529/items/EESJZHEU"],"itemData":{"id":104,"type":"article-journal","abstract":"Bile acids (BA) are amphiphilic molecules synthesized in the liver (primary BA) starting from cholesterol. In the small intestine, BA act as strong detergents for emulsiﬁcation, solubilization and absorption of dietary fat, cholesterol, and lipid-soluble vitamins. Primary BA escaping the active ileal re-absorption undergo the microbiota-dependent biotransformation to secondary BA in the colon, and passive diffusion into the portal vein towards the liver. BA also act as signaling molecules able to play a systemic role in a variety of metabolic functions, mainly through the activation of nuclear and membrane-associated receptors in the intestine, gallbladder, and liver. BA homeostasis is tightly controlled by a complex interplay with the nuclear receptor farnesoid X receptor (FXR), the enterokine hormone ﬁbroblast growth factor 15 (FGF15) or the human ortholog FGF19 (FGF19). Circulating FGF19 to the FGFR4/β-Klotho receptor causes smooth muscle relaxation and reﬁlling of the gallbladder. In the liver the binding activates the FXR-small heterodimer partner (SHP) pathway. This step suppresses the unnecessary BA synthesis and promotes the continuous enterohepatic circulation of BAs. Besides BA homeostasis, the BA-FXR-FGF19 axis governs several metabolic processes, hepatic protein, and glycogen synthesis, without inducing lipogenesis. These pathways can be disrupted in cholestasis, nonalcoholic fatty liver disease, and hepatocellular carcinoma. Thus, targeting FXR activity can represent a novel therapeutic approach for the prevention and the treatment of liver and metabolic diseases.","container-title":"Nutrients","DOI":"10.3390/nu14234950","ISSN":"2072-6643","issue":"23","journalAbbreviation":"Nutrients","language":"en","page":"4950","source":"DOI.org (Crossref)","title":"Recent Advances in the Digestive, Metabolic and Therapeutic Effects of Farnesoid X Receptor and Fibroblast Growth Factor 19: From Cholesterol to Bile Acid Signaling","title-short":"Recent Advances in the Digestive, Metabolic and Therapeutic Effects of Farnesoid X Receptor and Fibroblast Growth Factor 19","volume":"14","author":[{"family":"Di Ciaula","given":"Agostino"},{"family":"Bonfrate","given":"Leonilde"},{"family":"Baj","given":"Jacek"},{"family":"Khalil","given":"Mohamad"},{"family":"Garruti","given":"Gabriella"},{"family":"Stellaard","given":"Frans"},{"family":"Wang","given":"Helen H."},{"family":"Wang","given":"David Q.-H."},{"family":"Portincasa","given":"Piero"}],"issued":{"date-parts":[["2022",11,22]]}}}],"schema":"https://github.com/citation-style-language/schema/raw/master/csl-citation.json"}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eastAsia="Times New Roman" w:cs="Times New Roman"/>
          <w:color w:val="000000" w:themeColor="text1"/>
          <w14:textFill>
            <w14:solidFill>
              <w14:schemeClr w14:val="tx1"/>
            </w14:solidFill>
          </w14:textFill>
        </w:rPr>
        <w:t xml:space="preserve"> in C4</w:t>
      </w:r>
      <w:r>
        <w:rPr>
          <w:rFonts w:hint="default" w:ascii="Times New Roman" w:hAnsi="Times New Roman" w:eastAsia="Times New Roman" w:cs="Times New Roman"/>
          <w:color w:val="000000" w:themeColor="text1"/>
          <w:kern w:val="0"/>
          <w:vertAlign w:val="superscript"/>
          <w14:textFill>
            <w14:solidFill>
              <w14:schemeClr w14:val="tx1"/>
            </w14:solidFill>
          </w14:textFill>
        </w:rPr>
        <w:t>[12]</w:t>
      </w:r>
      <w:r>
        <w:rPr>
          <w:rFonts w:hint="default" w:ascii="Times New Roman" w:hAnsi="Times New Roman" w:eastAsia="Times New Roman" w:cs="Times New Roman"/>
          <w:color w:val="000000" w:themeColor="text1"/>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eastAsia="Times New Roman" w:cs="Times New Roman"/>
          <w:color w:val="000000" w:themeColor="text1"/>
          <w14:textFill>
            <w14:solidFill>
              <w14:schemeClr w14:val="tx1"/>
            </w14:solidFill>
          </w14:textFill>
        </w:rPr>
        <w:t>Serum FGF19 can be measured by a commercial enzyme-linked immunosorbent assay to facilitate clinical implementation. Previous studies</w:t>
      </w:r>
      <w:r>
        <w:rPr>
          <w:rFonts w:hint="default" w:ascii="Times New Roman" w:hAnsi="Times New Roman" w:eastAsia="Times New Roman" w:cs="Times New Roman"/>
          <w:color w:val="000000" w:themeColor="text1"/>
          <w:kern w:val="0"/>
          <w:vertAlign w:val="superscript"/>
          <w14:textFill>
            <w14:solidFill>
              <w14:schemeClr w14:val="tx1"/>
            </w14:solidFill>
          </w14:textFill>
        </w:rPr>
        <w:t>[13]</w:t>
      </w:r>
      <w:r>
        <w:rPr>
          <w:rFonts w:hint="default" w:ascii="Times New Roman" w:hAnsi="Times New Roman" w:eastAsia="Times New Roman" w:cs="Times New Roman"/>
          <w:color w:val="000000" w:themeColor="text1"/>
          <w14:textFill>
            <w14:solidFill>
              <w14:schemeClr w14:val="tx1"/>
            </w14:solidFill>
          </w14:textFill>
        </w:rPr>
        <w:t xml:space="preserve"> have shown that the level of FGF19 is significantly decreased</w:t>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ADDIN ZOTERO_ITEM CSL_CITATION {"citationID":"v8EizDPo","properties":{"formattedCitation":"\\super [13]\\nosupersub{}","plainCitation":"[13]","noteIndex":0},"citationItems":[{"id":103,"uris":["http://zotero.org/users/17452529/items/KFEAV26B"],"itemData":{"id":103,"type":"article-journal","container-title":"British Medical Bulletin","DOI":"10.1093/bmb/ldp032","ISSN":"0007-1420, 1471-8391","issue":"1","journalAbbreviation":"British Medical Bulletin","language":"en","page":"79-93","source":"DOI.org (Crossref)","title":"Recent advances in the understanding of bile acid malabsorption","volume":"92","author":[{"family":"Pattni","given":"S."},{"family":"Walters","given":"J. R. F."}],"issued":{"date-parts":[["2009",12,1]]}}}],"schema":"https://github.com/citation-style-language/schema/raw/master/csl-citation.json"}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eastAsia="Times New Roman" w:cs="Times New Roman"/>
          <w:color w:val="000000" w:themeColor="text1"/>
          <w14:textFill>
            <w14:solidFill>
              <w14:schemeClr w14:val="tx1"/>
            </w14:solidFill>
          </w14:textFill>
        </w:rPr>
        <w:t>in patients with BAD, but further studies are needed to determine</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 ADDIN ZOTERO_ITEM CSL_CITATION {"citationID":"ztm0mFWB","properties":{"formattedCitation":"\\super [14]\\nosupersub{}","plainCitation":"[14]","noteIndex":0},"citationItems":[{"id":22,"uris":["http://zotero.org/users/local/QMzx35VM/items/JERKHZAE","http://zotero.org/users/17452529/items/JERKHZAE"],"itemData":{"id":22,"type":"article-journal","abstract":"BACKGROUND: The serum biomarkers, elevated 7αC4 (C4) and decreased FGF19, have been proposed as screening tests for bile acid diarrhoea.\nAIM: To analyse prevalence, specificity and reproducibility of fasting C4 and FGF19 in identifying bile acid diarrhoea in patients with irritable bowel syndrome with predominant diarrhoea or functional diarrhoea (summarised as IBS-D).\nMETHODS: We prospectively studied fasting serum C4 and FGF19 in 101 IBS-D patients; we reviewed data from 37 of the 101 patients with prior fasting serum C4 and FGF19 and from 30 of the 101 patients with prior faecal bile acids per 48 hours. We compared results with normal values (C4 ≥52.5 ng/mL [n=184], FGF-19 ≤61.7 pg/mL [n=50]). We used Spearman correlation and Bland-Altman plots to appraise reproducibility.\nRESULTS: Among the 101 patients, there was a negative correlation between serum C4 and FGF19 (Rs=-.342, P=.0005). Bile acid diarrhoea was diagnosed in 10 patients based on elevated serum C4 levels (mean 23.5±23.1 [SD] ng/mL) and 21 patients based on decreased FGF19 levels (121.6±84.2 pg/mL). With replicate tests in patients with stable IBS-D, 78% of C4 and 70% of FGF19 measurements remained concordant, with 3% and 11% respectively consistently positive for bile acid diarrhoea in the 101 patients. Compared to 48 hours faecal bile acids, specificity for C4 and FGF19 was 83% and 78%, respectively. Bland-Altman plots demonstrated greater reliability of C4 than FGF19.\nCONCLUSIONS: Among 101 patents with IBS-D, fasting FGF19 and C4 levels had good specificity and negative predictive value, suggesting utility as screening tests to exclude bile acid diarrhoea.","container-title":"Alimentary Pharmacology &amp; Therapeutics","DOI":"10.1111/apt.14214","ISSN":"1365-2036","issue":"6","journalAbbreviation":"Aliment Pharmacol Ther","language":"eng","note":"PMID: 28691284\nPMCID: PMC5555810","page":"581-588","source":"PubMed","title":"Performance characteristics of serum C4 and FGF19 measurements to exclude the diagnosis of bile acid diarrhoea in IBS-diarrhoea and functional diarrhoea","volume":"46","author":[{"family":"Vijayvargiya","given":"P."},{"family":"Camilleri","given":"M."},{"family":"Carlson","given":"P."},{"family":"Lueke","given":"A."},{"family":"O'Neill","given":"J."},{"family":"Burton","given":"D."},{"family":"Busciglio","given":"I."},{"family":"Donato","given":"L."}],"issued":{"date-parts":[["2017",9]]}}}],"schema":"https://github.com/citation-style-language/schema/raw/master/csl-citation.json"}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eastAsia="Times New Roman" w:cs="Times New Roman"/>
          <w:color w:val="000000" w:themeColor="text1"/>
          <w14:textFill>
            <w14:solidFill>
              <w14:schemeClr w14:val="tx1"/>
            </w14:solidFill>
          </w14:textFill>
        </w:rPr>
        <w:t xml:space="preserve"> its specific diagnostic cut-off value</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eastAsia="Times New Roman" w:cs="Times New Roman"/>
          <w:color w:val="000000" w:themeColor="text1"/>
          <w:kern w:val="0"/>
          <w:vertAlign w:val="superscript"/>
          <w14:textFill>
            <w14:solidFill>
              <w14:schemeClr w14:val="tx1"/>
            </w14:solidFill>
          </w14:textFill>
        </w:rPr>
        <w:t>[14]</w:t>
      </w:r>
      <w:r>
        <w:rPr>
          <w:rFonts w:hint="default" w:ascii="Times New Roman" w:hAnsi="Times New Roman" w:eastAsia="Times New Roman" w:cs="Times New Roman"/>
          <w:color w:val="000000" w:themeColor="text1"/>
          <w14:textFill>
            <w14:solidFill>
              <w14:schemeClr w14:val="tx1"/>
            </w14:solidFill>
          </w14:textFill>
        </w:rPr>
        <w:t>. In g</w:t>
      </w:r>
      <w:r>
        <w:rPr>
          <w:rFonts w:hint="default" w:ascii="Times New Roman" w:hAnsi="Times New Roman" w:eastAsia="Times New Roman" w:cs="Times New Roman"/>
        </w:rPr>
        <w:t>eneral, empirical treatmen with a bile acid sequestrant is recommended in patients with suspected BAD when a diagnosis cannot be obtained</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{"citationID":"MBtCkA4m","properties":{"formattedCitation":"\\super [6]\\nosupersub{}","plainCitation":"[6]","noteIndex":0},"citationItems":[{"id":65,"uris":["http://zotero.org/users/local/QMzx35VM/items/H23ALEM2","http://zotero.org/users/17452529/items/H23ALEM2"],"itemData":{"id":65,"type":"article-journal","container-title":"Clinical Gastroenterology and Hepatology","DOI":"10.1016/j.cgh.2019.10.031","ISSN":"15423565","issue":"1","journalAbbreviation":"Clinical Gastroenterology and Hepatology","language":"en","page":"45-47","source":"DOI.org (Crossref)","title":"Good News about BAD","volume":"18","author":[{"family":"Schiller","given":"Lawrence R."}],"issued":{"date-parts":[["2020",1]]}}}],"schema":"https://github.com/citation-style-language/schema/raw/master/csl-citation.json"}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eastAsia="Times New Roman" w:cs="Times New Roman"/>
          <w:kern w:val="0"/>
          <w:vertAlign w:val="superscript"/>
        </w:rPr>
        <w:t>[6]</w:t>
      </w:r>
      <w:r>
        <w:rPr>
          <w:rFonts w:hint="default" w:ascii="Times New Roman" w:hAnsi="Times New Roman" w:cs="Times New Roman"/>
        </w:rPr>
        <w:fldChar w:fldCharType="end"/>
      </w:r>
      <w:r>
        <w:rPr>
          <w:rFonts w:hint="default" w:ascii="Times New Roman" w:hAnsi="Times New Roman" w:eastAsia="Times New Roman" w:cs="Times New Roman"/>
        </w:rPr>
        <w:t>. However, compliance with therapeutic trials may be poor due to factors such as adverse effects</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{"citationID":"syRL3e9a","properties":{"formattedCitation":"\\super [15]\\nosupersub{}","plainCitation":"[15]","noteIndex":0},"citationItems":[{"id":85,"uris":["http://zotero.org/users/local/QMzx35VM/items/K5IIAV3A","http://zotero.org/users/17452529/items/K5IIAV3A"],"itemData":{"id":85,"type":"article-journal","abstract":"BACKGROUND: The principal diagnosis/indication for this assessment is chronic diarrhoea due to bile acid malabsorption (BAM). Diarrhoea can be defined as the abnormal passage of loose or liquid stools more than three times daily and/or a daily stool weight &gt; 200 g per day and is considered to be chronic if it persists for more than 4 weeks. The cause of chronic diarrhoea in adults is often difficult to ascertain and patients may undergo several investigations without a definitive cause being identified. BAM is one of several causes of chronic diarrhoea and results from failure to absorb bile acids (which are required for the absorption of dietary fats and sterols in the intestine) in the distal ileum.\nOBJECTIVE: For people with chronic diarrhoea with unknown cause and in people with Crohn's disease and chronic diarrhoea with unknown cause (i.e. before resection): (1) What are the effects of selenium-75-homocholic acid taurine (SeHCAT) compared with no SeHCAT in terms of chronic diarrhoea, other health outcomes and costs? (2) What are the effects of bile acid sequestrants (BASs) compared with no BASs in people with a positive or negative SeHCAT test? (3) Does a positive or negative SeHCAT test predict improvement in terms of chronic diarrhoea, other health outcomes and costs?\nDATA SOURCES: A systematic review was conducted to summarise the evidence on the clinical effectiveness of SeHCAT for the assessment of BAM and the measurement of bile acid pool loss. Search strategies were based on target condition and intervention, as recommended in the Centre for Reviews and Dissemination (CRD) guidance for undertaking reviews in health care and the Cochrane Handbook for Diagnostic Test Accuracy Reviews. The following databases were searched up to April 2012: MEDLINE; MEDLINE In-Process &amp; Other Non-Indexed Citations; EMBASE; the Cochrane Databases; Database of Abstracts of Reviews of Effects; Health Technology Assessment (HTA) Database; and Science Citation Index. Research registers and conference proceedings were also searched.\nREVIEW METHODS: Systematic review methods followed the principles outlined in the CRD guidance for undertaking reviews in health care and the National Institute for Health and Care Excellence (NICE) Diagnostic Assessment Programme interim methods statement. In the health economic analysis, the cost-effectiveness of SeHCAT for the assessment of BAM, in patients with chronic diarrhoea, was estimated in two different populations. The first is the population of patients with chronic diarrhoea with unknown cause and symptoms suggestive of diarrhoea-predominant irritable bowel syndrome (IBS-D) and the second population concerns patients with Crohn's disease without ileal resection with chronic diarrhoea. For each population, three models were combined: (1) a short-term decision tree that models the diagnostic pathway and initial response to treatment (first 6 months); (2) a long-term Markov model that estimates the lifetime costs and effects for patients initially receiving BAS; and (3) a long-term Markov model that estimates the lifetime costs and effects for patients initially receiving regular treatment (IBS-D treatment in the first population and Crohn's treatment in the second population). Incremental cost-effectiveness ratios were estimated as additional cost per additional responder in the short term (first 6 months) and per additional quality-adjusted life-year (QALY) in the long term (lifetime).\nRESULTS: We found three studies assessing the relationship between the SeHCAT test and response to treatment with cholestyramine. However, the studies had small numbers of patients with unknown cause chronic diarrhoea, and they used different cut-offs to define BAM. For the short term (first 6 months), when trial of treatment is not considered as a comparator, the optimal choice depends on the willingness to pay for an additional responder. For lower values (between £1500 and £4600) the choice will be no SeHCAT in all scenarios; for higher values either SeHCAT 10% or SeHCAT 15% becomes cost-effective. For the lifetime perspective, the various scenarios showed widely differing results: in the threshold range of £20,000-30,000 per QALY gained we found as optimal choice either no SeHCAT, SeHCAT 5% (only IBS-D) or SeHCAT 15%. When trial of treatment is considered a comparator, the analysis showed that for the short term, trial of treatment is the optimal choice across a range of scenarios. For the lifetime perspective with trial of treatment, again the various scenarios show widely differing results. Depending on the scenario, in the threshold range of £20,000-30,000 per QALY gained, we found as optimal choice either trial of treatment, no SeHCAT or SeHCAT 15%.\nCONCLUSIONS: In conclusion, the various analyses show that for both populations considerable decision uncertainty exists and that no firm conclusions can be formulated about which strategy is optimal. Standardisation of the definition of a positive SeHCAT test should be the first step in assessing the usefulness of this test. As there is no reference standard for the diagnosis of BAM and SeHCAT testing provides a continuous measure of metabolic function, diagnostic test accuracy (DTA) studies are not the most appropriate study design. However, in studies where all patients are tested with SeHCAT and all patients are treated with BASs, response to treatment can provide a surrogate reference standard; further DTA studies of this type may provide information on the ability of SeHCAT to predict response to BASs. A potentially more informative option would be multivariate regression modelling of treatment response (dependent variable), with SeHCAT result and other candidate clinical predictors as covariates. Such a study design could also inform the definition of a positive SeHCAT result.\nSTUDY REGISTRATION: The study is registered as PROSPERO CRD42012001911.\nFUNDING: The National Institute for Health Research Health Technology Assessment programme.","container-title":"Health Technology Assessment (Winchester, England)","DOI":"10.3310/hta17610","ISSN":"2046-4924","issue":"61","journalAbbreviation":"Health Technol Assess","language":"eng","note":"PMID: 24351663\nPMCID: PMC4781120","page":"1-236","source":"PubMed","title":"SeHCAT [tauroselcholic (selenium-75) acid] for the investigation of bile acid malabsorption and measurement of bile acid pool loss: a systematic review and cost-effectiveness analysis","title-short":"SeHCAT [tauroselcholic (selenium-75) acid] for the investigation of bile acid malabsorption and measurement of bile acid pool loss","volume":"17","author":[{"family":"Riemsma","given":"R."},{"family":"Al","given":"M."},{"family":"Corro Ramos","given":"I."},{"family":"Deshpande","given":"S. N."},{"family":"Armstrong","given":"N."},{"family":"Lee","given":"Y.-C."},{"family":"Ryder","given":"S."},{"family":"Noake","given":"C."},{"family":"Krol","given":"M."},{"family":"Oppe","given":"M."},{"family":"Kleijnen","given":"J."},{"family":"Severens","given":"H."}],"issued":{"date-parts":[["2013",12]]}}}],"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eastAsia="Times New Roman" w:cs="Times New Roman"/>
          <w:kern w:val="0"/>
          <w:vertAlign w:val="superscript"/>
        </w:rPr>
        <w:t>[15]</w:t>
      </w:r>
      <w:r>
        <w:rPr>
          <w:rFonts w:hint="default" w:ascii="Times New Roman" w:hAnsi="Times New Roman" w:cs="Times New Roman"/>
        </w:rPr>
        <w:fldChar w:fldCharType="end"/>
      </w:r>
      <w:r>
        <w:rPr>
          <w:rFonts w:hint="default" w:ascii="Times New Roman" w:hAnsi="Times New Roman" w:eastAsia="Times New Roman" w:cs="Times New Roman"/>
        </w:rPr>
        <w:t>. A diagnosis of bile acid diarrhea is often missed due to difficulties in obtaining appropriate diagnostic tests. As a result, patients with BAD are often misdiagnosed as having irritable bowel syndrome. Therefore, there is still a lack of simple methods for the diagnosis of BAD. This study intends to further explore the establishment of a diagnostic method for BAD in order to find a diagnostic method that can be widely used in clinical practice. By searching the literature</w:t>
      </w:r>
      <w:r>
        <w:rPr>
          <w:rFonts w:hint="default" w:ascii="Times New Roman" w:hAnsi="Times New Roman" w:eastAsia="Times New Roman" w:cs="Times New Roman"/>
          <w:color w:val="000000"/>
        </w:rPr>
        <w:t xml:space="preserve">, recent studies have </w:t>
      </w:r>
      <w:r>
        <w:rPr>
          <w:rFonts w:hint="default" w:ascii="Times New Roman" w:hAnsi="Times New Roman" w:eastAsia="宋体" w:cs="Times New Roman"/>
          <w:color w:val="000000"/>
          <w:vertAlign w:val="baseline"/>
        </w:rPr>
        <w:fldChar w:fldCharType="begin"/>
      </w:r>
      <w:r>
        <w:rPr>
          <w:rFonts w:hint="default" w:ascii="Times New Roman" w:hAnsi="Times New Roman" w:eastAsia="宋体" w:cs="Times New Roman"/>
          <w:color w:val="000000"/>
          <w:vertAlign w:val="baseline"/>
        </w:rPr>
        <w:instrText xml:space="preserve"> ADDIN ZOTERO_ITEM CSL_CITATION {"citationID":"0FpEcBsm","properties":{"formattedCitation":"\\super [16]\\nosupersub{}","plainCitation":"[16]","noteIndex":0},"citationItems":[{"id":74,"uris":["http://zotero.org/users/local/QMzx35VM/items/RGZV87IM","http://zotero.org/users/17452529/items/RGZV87IM"],"itemData":{"id":74,"type":"article-journal","abstract":"Abstract\n            \n              This study examines the validity of measuring faecal bile acids (FBA) in a single stool sample as a diagnostic tool for bile acid diarrhoea (BAD) by direct comparison to the\n              75\n              selenium-homotaurocholic acid (SeHCAT) scan. A prospective observational study was undertaken. Patients with chronic diarrhoea (&gt; 6 weeks) being investigated for potential BAD with SeHCAT scan provided stool samples for measurement of FBA, using an enzyme-linked immunosorbent assay. Patients were characterised into four groups: SeHCAT negative control group, post-cholecystectomy, idiopathic BAD and post-operative terminal ileal resected Crohn’s disease. Stool samples were collected at baseline and 8-weeks post treatment to determine whether FBA measurement could be used to monitor therapeutic response. 113 patients had a stool sample to directly compare with their SeHCAT result. FBA concentrations (μmol/g) and interquartile ranges in patients in the control group (2.8; 1.6–4.2), BAD (3.6; 1.9–7.2) and post-cholecystectomy cohort 3.8 (2.3–6.8) were similar, but all were significantly lower (p &lt; 0.001) compared to the Crohn’s disease cohort (11.8; 10.1–16.2). FBA concentrations in patients with SeHCAT retention of &lt; 15% (4.95; 2.6–10.5) and &lt; 5% (9.9; 4.8–15.4) were significantly higher than those with a SeHCAT retention &gt; 15% (2.6; 1.6–4.2); (p &lt; 0.001 and p &lt; 0.0001, respectively). The sensitivity and specificity using FBA cut-off of 1.6 μmol/g (using ≤ 15% SeHCAT retention as diagnostic of BAD) were 90% and 25% respectively. A single random stool sample may have potential use in diagnosing severe BAD or BAD in Crohn’s patients. Larger studies are now needed to confirm the potential efficacy of this test to accurately diagnose BAD in the absence of SeHCAT testing.","container-title":"Scientific Reports","DOI":"10.1038/s41598-022-12003-z","ISSN":"2045-2322","issue":"1","journalAbbreviation":"Sci Rep","language":"en","page":"8313","source":"DOI.org (Crossref)","title":"A single faecal bile acid stool test demonstrates potential efficacy in replacing SeHCAT testing for bile acid diarrhoea in selected patients","volume":"12","author":[{"family":"Kumar","given":"Aditi"},{"family":"Al-Hassi","given":"Hafid O."},{"family":"Jain","given":"Manushri"},{"family":"Phipps","given":"Oliver"},{"family":"Ford","given":"Clare"},{"family":"Gama","given":"Rousseau"},{"family":"Steed","given":"Helen"},{"family":"Butterworth","given":"Jeffrey"},{"family":"McLaughlin","given":"John"},{"family":"Galbraith","given":"Niall"},{"family":"Brookes","given":"Matthew J."},{"family":"Hughes","given":"Lauren E."}],"issued":{"date-parts":[["2022",5,18]]}}}],"schema":"https://github.com/citation-style-language/schema/raw/master/csl-citation.json"} </w:instrText>
      </w:r>
      <w:r>
        <w:rPr>
          <w:rFonts w:hint="default" w:ascii="Times New Roman" w:hAnsi="Times New Roman" w:eastAsia="宋体" w:cs="Times New Roman"/>
          <w:color w:val="000000"/>
          <w:vertAlign w:val="baseline"/>
        </w:rPr>
        <w:fldChar w:fldCharType="separate"/>
      </w:r>
      <w:r>
        <w:rPr>
          <w:rFonts w:hint="default" w:ascii="Times New Roman" w:hAnsi="Times New Roman" w:eastAsia="Times New Roman" w:cs="Times New Roman"/>
          <w:kern w:val="0"/>
          <w:vertAlign w:val="baseline"/>
        </w:rPr>
        <w:t>confirmed that</w:t>
      </w:r>
      <w:r>
        <w:rPr>
          <w:rFonts w:hint="default" w:ascii="Times New Roman" w:hAnsi="Times New Roman" w:eastAsia="宋体" w:cs="Times New Roman"/>
          <w:color w:val="000000"/>
          <w:vertAlign w:val="baseline"/>
        </w:rPr>
        <w:fldChar w:fldCharType="end"/>
      </w:r>
      <w:r>
        <w:rPr>
          <w:rFonts w:hint="default" w:ascii="Times New Roman" w:hAnsi="Times New Roman" w:eastAsia="Times New Roman" w:cs="Times New Roman"/>
          <w:color w:val="000000"/>
          <w:vertAlign w:val="baseline"/>
        </w:rPr>
        <w:t xml:space="preserve"> </w:t>
      </w:r>
      <w:r>
        <w:rPr>
          <w:rFonts w:hint="default" w:ascii="Times New Roman" w:hAnsi="Times New Roman" w:eastAsia="Times New Roman" w:cs="Times New Roman"/>
          <w:color w:val="000000"/>
        </w:rPr>
        <w:t>a single random fecal bile acid in patients with severe BAD is significantly higher than that in patients with moderate BAD and mild BAD</w:t>
      </w:r>
      <w:r>
        <w:rPr>
          <w:rFonts w:hint="default" w:ascii="Times New Roman" w:hAnsi="Times New Roman" w:eastAsia="Times New Roman" w:cs="Times New Roman"/>
          <w:kern w:val="0"/>
          <w:vertAlign w:val="superscript"/>
        </w:rPr>
        <w:t>[16]</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kern w:val="0"/>
          <w:vertAlign w:val="superscript"/>
          <w:lang w:val="en-US" w:eastAsia="zh-CN"/>
        </w:rPr>
        <w:t xml:space="preserve"> </w:t>
      </w:r>
      <w:r>
        <w:rPr>
          <w:rFonts w:hint="default" w:ascii="Times New Roman" w:hAnsi="Times New Roman" w:eastAsia="Times New Roman" w:cs="Times New Roman"/>
          <w:color w:val="000000"/>
        </w:rPr>
        <w:t>Primary bile acid content in a single random stool combined with serum C4</w:t>
      </w:r>
      <w:r>
        <w:rPr>
          <w:rFonts w:hint="default" w:ascii="Times New Roman" w:hAnsi="Times New Roman" w:eastAsia="宋体" w:cs="Times New Roman"/>
          <w:color w:val="000000"/>
        </w:rPr>
        <w:fldChar w:fldCharType="begin"/>
      </w:r>
      <w:r>
        <w:rPr>
          <w:rFonts w:hint="default" w:ascii="Times New Roman" w:hAnsi="Times New Roman" w:eastAsia="宋体" w:cs="Times New Roman"/>
          <w:color w:val="000000"/>
        </w:rPr>
        <w:instrText xml:space="preserve"> ADDIN ZOTERO_ITEM CSL_CITATION {"citationID":"qZla1h4q","properties":{"formattedCitation":"\\super [17]\\nosupersub{}","plainCitation":"[17]","noteIndex":0},"citationItems":[{"id":36,"uris":["http://zotero.org/users/local/QMzx35VM/items/83K7G3AV","http://zotero.org/users/17452529/items/83K7G3AV"],"itemData":{"id":36,"type":"article-journal","container-title":"Gastroenterology","DOI":"10.1053/j.gastro.2020.07.001","ISSN":"00165085","issue":"5","journalAbbreviation":"Gastroenterology","language":"en","page":"1952-1954.e2","source":"DOI.org (Crossref)","title":"Combined Fasting Serum C4 and Primary Bile Acids From a Single Stool Sample to Diagnose Bile Acid Diarrhea","volume":"159","author":[{"family":"Vijayvargiya","given":"Priya"},{"family":"Camilleri","given":"Michael"},{"family":"Taylor","given":"Ann"},{"family":"Busciglio","given":"Irene"},{"family":"Loftus","given":"Edward V."},{"family":"Donato","given":"Leslie J."}],"issued":{"date-parts":[["2020",11]]}}}],"schema":"https://github.com/citation-style-language/schema/raw/master/csl-citation.json"} </w:instrText>
      </w:r>
      <w:r>
        <w:rPr>
          <w:rFonts w:hint="default" w:ascii="Times New Roman" w:hAnsi="Times New Roman" w:eastAsia="宋体" w:cs="Times New Roman"/>
          <w:color w:val="000000"/>
        </w:rPr>
        <w:fldChar w:fldCharType="separate"/>
      </w:r>
      <w:r>
        <w:rPr>
          <w:rFonts w:hint="default" w:ascii="Times New Roman" w:hAnsi="Times New Roman" w:eastAsia="Times New Roman" w:cs="Times New Roman"/>
          <w:kern w:val="0"/>
          <w:vertAlign w:val="superscript"/>
        </w:rPr>
        <w:t xml:space="preserve"> </w:t>
      </w:r>
      <w:r>
        <w:rPr>
          <w:rFonts w:hint="default" w:ascii="Times New Roman" w:hAnsi="Times New Roman" w:eastAsia="Times New Roman" w:cs="Times New Roman"/>
          <w:kern w:val="0"/>
          <w:vertAlign w:val="baseline"/>
        </w:rPr>
        <w:t>could predict increased stool frequency (sensitivity 79%, specificity 94%)</w:t>
      </w:r>
      <w:r>
        <w:rPr>
          <w:rFonts w:hint="default" w:ascii="Times New Roman" w:hAnsi="Times New Roman" w:eastAsia="宋体" w:cs="Times New Roman"/>
          <w:color w:val="000000"/>
        </w:rPr>
        <w:fldChar w:fldCharType="end"/>
      </w:r>
      <w:r>
        <w:rPr>
          <w:rFonts w:hint="default" w:ascii="Times New Roman" w:hAnsi="Times New Roman" w:eastAsia="Times New Roman" w:cs="Times New Roman"/>
          <w:kern w:val="0"/>
          <w:vertAlign w:val="superscript"/>
        </w:rPr>
        <w:t>[17]</w:t>
      </w:r>
      <w:r>
        <w:rPr>
          <w:rFonts w:hint="default" w:ascii="Times New Roman" w:hAnsi="Times New Roman" w:eastAsia="Times New Roman" w:cs="Times New Roman"/>
          <w:color w:val="000000"/>
        </w:rPr>
        <w:t xml:space="preserve">. </w:t>
      </w:r>
      <w:r>
        <w:rPr>
          <w:rFonts w:hint="default" w:ascii="Times New Roman" w:hAnsi="Times New Roman" w:eastAsia="Times New Roman" w:cs="Times New Roman"/>
        </w:rPr>
        <w:t>According to literature review, some studies</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{"citationID":"6K2NNSS8","properties":{"formattedCitation":"\\super [9,9,10]\\nosupersub{}","plainCitation":"[9,9,10]","dontUpdate":true,"noteIndex":0},"citationItems":[{"id":74,"uris":["http://zotero.org/users/local/QMzx35VM/items/RGZV87IM","http://zotero.org/users/17452529/items/RGZV87IM"],"itemData":{"id":74,"type":"article-journal","abstract":"Abstract\n            \n              This study examines the validity of measuring faecal bile acids (FBA) in a single stool sample as a diagnostic tool for bile acid diarrhoea (BAD) by direct comparison to the\n              75\n              selenium-homotaurocholic acid (SeHCAT) scan. A prospective observational study was undertaken. Patients with chronic diarrhoea (&gt; 6 weeks) being investigated for potential BAD with SeHCAT scan provided stool samples for measurement of FBA, using an enzyme-linked immunosorbent assay. Patients were characterised into four groups: SeHCAT negative control group, post-cholecystectomy, idiopathic BAD and post-operative terminal ileal resected Crohn’s disease. Stool samples were collected at baseline and 8-weeks post treatment to determine whether FBA measurement could be used to monitor therapeutic response. 113 patients had a stool sample to directly compare with their SeHCAT result. FBA concentrations (μmol/g) and interquartile ranges in patients in the control group (2.8; 1.6–4.2), BAD (3.6; 1.9–7.2) and post-cholecystectomy cohort 3.8 (2.3–6.8) were similar, but all were significantly lower (p &lt; 0.001) compared to the Crohn’s disease cohort (11.8; 10.1–16.2). FBA concentrations in patients with SeHCAT retention of &lt; 15% (4.95; 2.6–10.5) and &lt; 5% (9.9; 4.8–15.4) were significantly higher than those with a SeHCAT retention &gt; 15% (2.6; 1.6–4.2); (p &lt; 0.001 and p &lt; 0.0001, respectively). The sensitivity and specificity using FBA cut-off of 1.6 μmol/g (using ≤ 15% SeHCAT retention as diagnostic of BAD) were 90% and 25% respectively. A single random stool sample may have potential use in diagnosing severe BAD or BAD in Crohn’s patients. Larger studies are now needed to confirm the potential efficacy of this test to accurately diagnose BAD in the absence of SeHCAT testing.","container-title":"Scientific Reports","DOI":"10.1038/s41598-022-12003-z","ISSN":"2045-2322","issue":"1","journalAbbreviation":"Sci Rep","language":"en","page":"8313","source":"DOI.org (Crossref)","title":"A single faecal bile acid stool test demonstrates potential efficacy in replacing SeHCAT testing for bile acid diarrhoea in selected patients","volume":"12","author":[{"family":"Kumar","given":"Aditi"},{"family":"Al-Hassi","given":"Hafid O."},{"family":"Jain","given":"Manushri"},{"family":"Phipps","given":"Oliver"},{"family":"Ford","given":"Clare"},{"family":"Gama","given":"Rousseau"},{"family":"Steed","given":"Helen"},{"family":"Butterworth","given":"Jeffrey"},{"family":"McLaughlin","given":"John"},{"family":"Galbraith","given":"Niall"},{"family":"Brookes","given":"Matthew J."},{"family":"Hughes","given":"Lauren E."}],"issued":{"date-parts":[["2022",5,18]]}},"label":"page"},{"id":74,"uris":["http://zotero.org/users/local/QMzx35VM/items/RGZV87IM","http://zotero.org/users/17452529/items/RGZV87IM"],"itemData":{"id":74,"type":"article-journal","abstract":"Abstract\n            \n              This study examines the validity of measuring faecal bile acids (FBA) in a single stool sample as a diagnostic tool for bile acid diarrhoea (BAD) by direct comparison to the\n              75\n              selenium-homotaurocholic acid (SeHCAT) scan. A prospective observational study was undertaken. Patients with chronic diarrhoea (&gt; 6 weeks) being investigated for potential BAD with SeHCAT scan provided stool samples for measurement of FBA, using an enzyme-linked immunosorbent assay. Patients were characterised into four groups: SeHCAT negative control group, post-cholecystectomy, idiopathic BAD and post-operative terminal ileal resected Crohn’s disease. Stool samples were collected at baseline and 8-weeks post treatment to determine whether FBA measurement could be used to monitor therapeutic response. 113 patients had a stool sample to directly compare with their SeHCAT result. FBA concentrations (μmol/g) and interquartile ranges in patients in the control group (2.8; 1.6–4.2), BAD (3.6; 1.9–7.2) and post-cholecystectomy cohort 3.8 (2.3–6.8) were similar, but all were significantly lower (p &lt; 0.001) compared to the Crohn’s disease cohort (11.8; 10.1–16.2). FBA concentrations in patients with SeHCAT retention of &lt; 15% (4.95; 2.6–10.5) and &lt; 5% (9.9; 4.8–15.4) were significantly higher than those with a SeHCAT retention &gt; 15% (2.6; 1.6–4.2); (p &lt; 0.001 and p &lt; 0.0001, respectively). The sensitivity and specificity using FBA cut-off of 1.6 μmol/g (using ≤ 15% SeHCAT retention as diagnostic of BAD) were 90% and 25% respectively. A single random stool sample may have potential use in diagnosing severe BAD or BAD in Crohn’s patients. Larger studies are now needed to confirm the potential efficacy of this test to accurately diagnose BAD in the absence of SeHCAT testing.","container-title":"Scientific Reports","DOI":"10.1038/s41598-022-12003-z","ISSN":"2045-2322","issue":"1","journalAbbreviation":"Sci Rep","language":"en","page":"8313","source":"DOI.org (Crossref)","title":"A single faecal bile acid stool test demonstrates potential efficacy in replacing SeHCAT testing for bile acid diarrhoea in selected patients","volume":"12","author":[{"family":"Kumar","given":"Aditi"},{"family":"Al-Hassi","given":"Hafid O."},{"family":"Jain","given":"Manushri"},{"family":"Phipps","given":"Oliver"},{"family":"Ford","given":"Clare"},{"family":"Gama","given":"Rousseau"},{"family":"Steed","given":"Helen"},{"family":"Butterworth","given":"Jeffrey"},{"family":"McLaughlin","given":"John"},{"family":"Galbraith","given":"Niall"},{"family":"Brookes","given":"Matthew J."},{"family":"Hughes","given":"Lauren E."}],"issued":{"date-parts":[["2022",5,18]]}},"label":"page"},{"id":36,"uris":["http://zotero.org/users/local/QMzx35VM/items/83K7G3AV","http://zotero.org/users/17452529/items/83K7G3AV"],"itemData":{"id":36,"type":"article-journal","container-title":"Gastroenterology","DOI":"10.1053/j.gastro.2020.07.001","ISSN":"00165085","issue":"5","journalAbbreviation":"Gastroenterology","language":"en","page":"1952-1954.e2","source":"DOI.org (Crossref)","title":"Combined Fasting Serum C4 and Primary Bile Acids From a Single Stool Sample to Diagnose Bile Acid Diarrhea","volume":"159","author":[{"family":"Vijayvargiya","given":"Priya"},{"family":"Camilleri","given":"Michael"},{"family":"Taylor","given":"Ann"},{"family":"Busciglio","given":"Irene"},{"family":"Loftus","given":"Edward V."},{"family":"Donato","given":"Leslie J."}],"issued":{"date-parts":[["2020",11]]}},"label":"page"}],"schema":"https://github.com/citation-style-language/schema/raw/master/csl-citation.json"}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eastAsia="Times New Roman" w:cs="Times New Roman"/>
          <w:kern w:val="0"/>
          <w:vertAlign w:val="superscript"/>
        </w:rPr>
        <w:t>[9,10]</w:t>
      </w:r>
      <w:r>
        <w:rPr>
          <w:rFonts w:hint="default" w:ascii="Times New Roman" w:hAnsi="Times New Roman" w:cs="Times New Roman"/>
        </w:rPr>
        <w:fldChar w:fldCharType="end"/>
      </w:r>
      <w:r>
        <w:rPr>
          <w:rFonts w:hint="default" w:ascii="Times New Roman" w:hAnsi="Times New Roman" w:eastAsia="Times New Roman" w:cs="Times New Roman"/>
        </w:rPr>
        <w:t xml:space="preserve"> have shown that a single random fecal bile acid test directly determines the content of fecal bile acid, which has a certain sensitivity for the diagnosis of BAD, but the specificity is not high because of its randomness and the great influence of dietary factors. Studies</w:t>
      </w:r>
      <w:r>
        <w:rPr>
          <w:rFonts w:hint="default" w:ascii="Times New Roman" w:hAnsi="Times New Roman" w:eastAsia="Times New Roman" w:cs="Times New Roman"/>
          <w:kern w:val="0"/>
          <w:vertAlign w:val="superscript"/>
        </w:rPr>
        <w:t>[18]</w:t>
      </w:r>
      <w:r>
        <w:rPr>
          <w:rFonts w:hint="default" w:ascii="Times New Roman" w:hAnsi="Times New Roman" w:eastAsia="Times New Roman" w:cs="Times New Roman"/>
        </w:rPr>
        <w:t xml:space="preserve"> have shown that a low-fat diet is an effective treatment option</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{"citationID":"CyEDygYu","properties":{"formattedCitation":"\\super [18]\\nosupersub{}","plainCitation":"[18]","noteIndex":0},"citationItems":[{"id":126,"uris":["http://zotero.org/users/17452529/items/QH8UCPMN"],"itemData":{"id":126,"type":"article-journal","container-title":"Clinical Medicine","DOI":"10.7861/clinmedicine.17-5-412","ISSN":"14702118","issue":"5","journalAbbreviation":"Clinical Medicine","language":"en","page":"412-418","source":"DOI.org (Crossref)","title":"The efficacy of a low-fat diet to manage the symptoms of bile acid malabsorption – outcomes in patients previously treated for cancer","volume":"17","author":[{"family":"Jackson","given":"Amy"},{"family":"Lalji","given":"Amyn"},{"family":"Kabir","given":"Mohammed"},{"family":"Muls","given":"Ann"},{"family":"Gee","given":"Caroline"},{"family":"Vyoral","given":"Susan"},{"family":"Shaw","given":"Clare"},{"family":"Andreyev","given":"H Jervoise N"}],"issued":{"date-parts":[["2017",10]]}}}],"schema":"https://github.com/citation-style-language/schema/raw/master/csl-citation.json"} </w:instrText>
      </w:r>
      <w:r>
        <w:rPr>
          <w:rFonts w:hint="default" w:ascii="Times New Roman" w:hAnsi="Times New Roman" w:cs="Times New Roman"/>
        </w:rPr>
        <w:fldChar w:fldCharType="separate"/>
      </w:r>
      <w:r>
        <w:rPr>
          <w:rFonts w:hint="eastAsia" w:ascii="Times New Roman" w:hAnsi="Times New Roman" w:cs="Times New Roman"/>
          <w:lang w:val="en-US" w:eastAsia="zh-CN"/>
        </w:rPr>
        <w:t xml:space="preserve"> </w:t>
      </w:r>
      <w:r>
        <w:rPr>
          <w:rFonts w:hint="default" w:ascii="Times New Roman" w:hAnsi="Times New Roman" w:eastAsia="Times New Roman" w:cs="Times New Roman"/>
        </w:rPr>
        <w:t>for patients with symptomatic bile acid malabsorption</w:t>
      </w:r>
      <w:r>
        <w:rPr>
          <w:rFonts w:hint="default" w:ascii="Times New Roman" w:hAnsi="Times New Roman" w:cs="Times New Roman"/>
        </w:rPr>
        <w:fldChar w:fldCharType="end"/>
      </w:r>
      <w:r>
        <w:rPr>
          <w:rFonts w:hint="default" w:ascii="Times New Roman" w:hAnsi="Times New Roman" w:eastAsia="Times New Roman" w:cs="Times New Roman"/>
        </w:rPr>
        <w:t>. Therefore, based on the above studies, this study standardized single random stool samples to further explore the diagnostic value of fecal bile acids after a fat meal for BAD. At present, there are few studies on the diagnosis of bile acid diarrhea in China, and there is still a lack of widely used clinical detection methods. Therefore, the objectives of this study are: 1. To explore the diagnostic method of bile acid diarrhea, and to further explore the diagnostic value of fecal bile acids and fecal bile acids after a fat meal for BAD based on the related research of random single fecal bile acids; Secondly, the diagnostic model of BAD was established by fecal bile acid detection and serum FGF19 detection, in order to find a convenient diagnostic test for BAD based on fasting serum sample and a single fecal sample.</w:t>
      </w:r>
    </w:p>
    <w:p w14:paraId="454F2D16">
      <w:pPr>
        <w:jc w:val="left"/>
      </w:pPr>
    </w:p>
    <w:p w14:paraId="478F8730">
      <w:pPr>
        <w:jc w:val="left"/>
        <w:rPr>
          <w:rFonts w:hint="default" w:ascii="Times New Roman" w:hAnsi="Times New Roman" w:eastAsia="宋体" w:cs="Times New Roman"/>
        </w:rPr>
      </w:pPr>
      <w:r>
        <w:rPr>
          <w:rFonts w:hint="default" w:ascii="Times New Roman" w:hAnsi="Times New Roman" w:eastAsia="Times New Roman" w:cs="Times New Roman"/>
          <w:b/>
          <w:bCs/>
        </w:rPr>
        <w:t xml:space="preserve">Methods: </w:t>
      </w:r>
    </w:p>
    <w:p w14:paraId="6842269C">
      <w:pPr>
        <w:rPr>
          <w:rFonts w:hint="default" w:ascii="Times New Roman" w:hAnsi="Times New Roman" w:eastAsia="宋体" w:cs="Times New Roman"/>
          <w:b/>
          <w:bCs/>
        </w:rPr>
      </w:pPr>
      <w:r>
        <w:rPr>
          <w:rFonts w:hint="default" w:ascii="Times New Roman" w:hAnsi="Times New Roman" w:eastAsia="Times New Roman" w:cs="Times New Roman"/>
          <w:b/>
          <w:bCs/>
        </w:rPr>
        <w:t>Study Subjects and sample Collection</w:t>
      </w:r>
    </w:p>
    <w:p w14:paraId="4CD01745">
      <w:pPr>
        <w:ind w:firstLine="480" w:firstLineChars="200"/>
        <w:rPr>
          <w:rFonts w:hint="default" w:ascii="Times New Roman" w:hAnsi="Times New Roman" w:cs="Times New Roman"/>
        </w:rPr>
      </w:pPr>
      <w:r>
        <w:rPr>
          <w:rFonts w:hint="default" w:ascii="Times New Roman" w:hAnsi="Times New Roman" w:eastAsia="Times New Roman" w:cs="Times New Roman"/>
        </w:rPr>
        <w:t>In this cross-sectional study, convenience sampling method was used to investigate the chronic diarrhea patients and the health checkup population in the Jiangbei District of Zhongda Hospital Southeast University from January to December 2024. Inclusion criteria: chronic diarrhea group: met the diagnostic criteria of diarrhea-predominant irritable bowel syndrome, aged 18-70 years old; Healthy control group: healthy people aged 18-70 years old. Exclusion criteria: patients with liver and kidney diseases; Taking metformin or steroid teleconsults; A history of gastrointestinal surgery; Have colitis, cancer and other diseases that may cause secondary diarrhea. According to the results of previous studies</w:t>
      </w:r>
      <w:r>
        <w:rPr>
          <w:rFonts w:hint="default" w:ascii="Times New Roman" w:hAnsi="Times New Roman" w:eastAsia="Times New Roman" w:cs="Times New Roman"/>
          <w:kern w:val="0"/>
          <w:vertAlign w:val="superscript"/>
        </w:rPr>
        <w:t>[11</w:t>
      </w:r>
      <w:r>
        <w:rPr>
          <w:rFonts w:hint="eastAsia" w:ascii="Times New Roman" w:hAnsi="Times New Roman" w:eastAsia="宋体" w:cs="Times New Roman"/>
          <w:kern w:val="0"/>
          <w:vertAlign w:val="superscript"/>
          <w:lang w:val="en-US" w:eastAsia="zh-CN"/>
        </w:rPr>
        <w:t>,19</w:t>
      </w:r>
      <w:r>
        <w:rPr>
          <w:rFonts w:hint="default" w:ascii="Times New Roman" w:hAnsi="Times New Roman" w:eastAsia="Times New Roman" w:cs="Times New Roman"/>
          <w:kern w:val="0"/>
          <w:vertAlign w:val="superscript"/>
        </w:rPr>
        <w:t>]</w:t>
      </w:r>
      <w:r>
        <w:rPr>
          <w:rFonts w:hint="default" w:ascii="Times New Roman" w:hAnsi="Times New Roman" w:eastAsia="Times New Roman" w:cs="Times New Roman"/>
        </w:rPr>
        <w:t xml:space="preserve">, the </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{"citationID":"Chu7qxlF","properties":{"formattedCitation":"\\super [9,9,10]\\nosupersub{}","plainCitation":"[9,9,10]","dontUpdate":true,"noteIndex":0},"citationItems":[{"id":74,"uris":["http://zotero.org/users/local/QMzx35VM/items/RGZV87IM","http://zotero.org/users/17452529/items/RGZV87IM"],"itemData":{"id":74,"type":"article-journal","abstract":"Abstract\n            \n              This study examines the validity of measuring faecal bile acids (FBA) in a single stool sample as a diagnostic tool for bile acid diarrhoea (BAD) by direct comparison to the\n              75\n              selenium-homotaurocholic acid (SeHCAT) scan. A prospective observational study was undertaken. Patients with chronic diarrhoea (&gt; 6 weeks) being investigated for potential BAD with SeHCAT scan provided stool samples for measurement of FBA, using an enzyme-linked immunosorbent assay. Patients were characterised into four groups: SeHCAT negative control group, post-cholecystectomy, idiopathic BAD and post-operative terminal ileal resected Crohn’s disease. Stool samples were collected at baseline and 8-weeks post treatment to determine whether FBA measurement could be used to monitor therapeutic response. 113 patients had a stool sample to directly compare with their SeHCAT result. FBA concentrations (μmol/g) and interquartile ranges in patients in the control group (2.8; 1.6–4.2), BAD (3.6; 1.9–7.2) and post-cholecystectomy cohort 3.8 (2.3–6.8) were similar, but all were significantly lower (p &lt; 0.001) compared to the Crohn’s disease cohort (11.8; 10.1–16.2). FBA concentrations in patients with SeHCAT retention of &lt; 15% (4.95; 2.6–10.5) and &lt; 5% (9.9; 4.8–15.4) were significantly higher than those with a SeHCAT retention &gt; 15% (2.6; 1.6–4.2); (p &lt; 0.001 and p &lt; 0.0001, respectively). The sensitivity and specificity using FBA cut-off of 1.6 μmol/g (using ≤ 15% SeHCAT retention as diagnostic of BAD) were 90% and 25% respectively. A single random stool sample may have potential use in diagnosing severe BAD or BAD in Crohn’s patients. Larger studies are now needed to confirm the potential efficacy of this test to accurately diagnose BAD in the absence of SeHCAT testing.","container-title":"Scientific Reports","DOI":"10.1038/s41598-022-12003-z","ISSN":"2045-2322","issue":"1","journalAbbreviation":"Sci Rep","language":"en","page":"8313","source":"DOI.org (Crossref)","title":"A single faecal bile acid stool test demonstrates potential efficacy in replacing SeHCAT testing for bile acid diarrhoea in selected patients","volume":"12","author":[{"family":"Kumar","given":"Aditi"},{"family":"Al-Hassi","given":"Hafid O."},{"family":"Jain","given":"Manushri"},{"family":"Phipps","given":"Oliver"},{"family":"Ford","given":"Clare"},{"family":"Gama","given":"Rousseau"},{"family":"Steed","given":"Helen"},{"family":"Butterworth","given":"Jeffrey"},{"family":"McLaughlin","given":"John"},{"family":"Galbraith","given":"Niall"},{"family":"Brookes","given":"Matthew J."},{"family":"Hughes","given":"Lauren E."}],"issued":{"date-parts":[["2022",5,18]]}},"label":"page"},{"id":74,"uris":["http://zotero.org/users/local/QMzx35VM/items/RGZV87IM","http://zotero.org/users/17452529/items/RGZV87IM"],"itemData":{"id":74,"type":"article-journal","abstract":"Abstract\n            \n              This study examines the validity of measuring faecal bile acids (FBA) in a single stool sample as a diagnostic tool for bile acid diarrhoea (BAD) by direct comparison to the\n              75\n              selenium-homotaurocholic acid (SeHCAT) scan. A prospective observational study was undertaken. Patients with chronic diarrhoea (&gt; 6 weeks) being investigated for potential BAD with SeHCAT scan provided stool samples for measurement of FBA, using an enzyme-linked immunosorbent assay. Patients were characterised into four groups: SeHCAT negative control group, post-cholecystectomy, idiopathic BAD and post-operative terminal ileal resected Crohn’s disease. Stool samples were collected at baseline and 8-weeks post treatment to determine whether FBA measurement could be used to monitor therapeutic response. 113 patients had a stool sample to directly compare with their SeHCAT result. FBA concentrations (μmol/g) and interquartile ranges in patients in the control group (2.8; 1.6–4.2), BAD (3.6; 1.9–7.2) and post-cholecystectomy cohort 3.8 (2.3–6.8) were similar, but all were significantly lower (p &lt; 0.001) compared to the Crohn’s disease cohort (11.8; 10.1–16.2). FBA concentrations in patients with SeHCAT retention of &lt; 15% (4.95; 2.6–10.5) and &lt; 5% (9.9; 4.8–15.4) were significantly higher than those with a SeHCAT retention &gt; 15% (2.6; 1.6–4.2); (p &lt; 0.001 and p &lt; 0.0001, respectively). The sensitivity and specificity using FBA cut-off of 1.6 μmol/g (using ≤ 15% SeHCAT retention as diagnostic of BAD) were 90% and 25% respectively. A single random stool sample may have potential use in diagnosing severe BAD or BAD in Crohn’s patients. Larger studies are now needed to confirm the potential efficacy of this test to accurately diagnose BAD in the absence of SeHCAT testing.","container-title":"Scientific Reports","DOI":"10.1038/s41598-022-12003-z","ISSN":"2045-2322","issue":"1","journalAbbreviation":"Sci Rep","language":"en","page":"8313","source":"DOI.org (Crossref)","title":"A single faecal bile acid stool test demonstrates potential efficacy in replacing SeHCAT testing for bile acid diarrhoea in selected patients","volume":"12","author":[{"family":"Kumar","given":"Aditi"},{"family":"Al-Hassi","given":"Hafid O."},{"family":"Jain","given":"Manushri"},{"family":"Phipps","given":"Oliver"},{"family":"Ford","given":"Clare"},{"family":"Gama","given":"Rousseau"},{"family":"Steed","given":"Helen"},{"family":"Butterworth","given":"Jeffrey"},{"family":"McLaughlin","given":"John"},{"family":"Galbraith","given":"Niall"},{"family":"Brookes","given":"Matthew J."},{"family":"Hughes","given":"Lauren E."}],"issued":{"date-parts":[["2022",5,18]]}},"label":"page"},{"id":36,"uris":["http://zotero.org/users/local/QMzx35VM/items/83K7G3AV","http://zotero.org/users/17452529/items/83K7G3AV"],"itemData":{"id":36,"type":"article-journal","container-title":"Gastroenterology","DOI":"10.1053/j.gastro.2020.07.001","ISSN":"00165085","issue":"5","journalAbbreviation":"Gastroenterology","language":"en","page":"1952-1954.e2","source":"DOI.org (Crossref)","title":"Combined Fasting Serum C4 and Primary Bile Acids From a Single Stool Sample to Diagnose Bile Acid Diarrhea","volume":"159","author":[{"family":"Vijayvargiya","given":"Priya"},{"family":"Camilleri","given":"Michael"},{"family":"Taylor","given":"Ann"},{"family":"Busciglio","given":"Irene"},{"family":"Loftus","given":"Edward V."},{"family":"Donato","given":"Leslie J."}],"issued":{"date-parts":[["2020",11]]}},"label":"page"}],"schema":"https://github.com/citation-style-language/schema/raw/master/csl-citation.json"}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Times New Roman" w:cs="Times New Roman"/>
        </w:rPr>
        <w:t>diagnostic criteria of BAD was serum</w:t>
      </w:r>
      <w:r>
        <w:rPr>
          <w:rFonts w:hint="default" w:ascii="Times New Roman" w:hAnsi="Times New Roman" w:cs="Times New Roman"/>
        </w:rPr>
        <w:fldChar w:fldCharType="begin"/>
      </w:r>
      <w:r>
        <w:rPr>
          <w:rFonts w:hint="default" w:ascii="Times New Roman" w:hAnsi="Times New Roman" w:cs="Times New Roman"/>
        </w:rPr>
        <w:instrText xml:space="preserve"> ADDIN ZOTERO_ITEM CSL_CITATION {"citationID":"tO6McXfR","properties":{"formattedCitation":"\\super [19]\\nosupersub{}","plainCitation":"[19]","noteIndex":0},"citationItems":[{"id":75,"uris":["http://zotero.org/users/local/QMzx35VM/items/HUCTVPAM","http://zotero.org/users/17452529/items/HUCTVPAM"],"itemData":{"id":75,"type":"webpage","title":"Measurement of serum 7alpha-hydroxy-4-cholesten-3-one (or 7alphaC4), a surrogate test for bile acid malabsorption in health, ileal disease and irritable bowel syndrome using liquid chromatography-tandem mass spectrometry - PubMed","URL":"https://pubmed.ncbi.nlm.nih.gov/19368662/","accessed":{"date-parts":[["2025",4,28]]}}}],"schema":"https://github.com/citation-style-language/schema/raw/master/csl-citation.json"}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Times New Roman" w:cs="Times New Roman"/>
        </w:rPr>
        <w:t xml:space="preserve"> 7α-hydroxy-4-cholesten-3-one (C4) &gt; 52.5 ng /ml. IBS-D patients were divided into BAD group</w:t>
      </w:r>
      <w:r>
        <w:rPr>
          <w:rFonts w:hint="default" w:ascii="Times New Roman" w:hAnsi="Times New Roman" w:eastAsia="Times New Roman" w:cs="Times New Roman"/>
          <w:color w:val="000000" w:themeColor="text1"/>
          <w14:textFill>
            <w14:solidFill>
              <w14:schemeClr w14:val="tx1"/>
            </w14:solidFill>
          </w14:textFill>
        </w:rPr>
        <w:t xml:space="preserve"> and non-BAD group. </w:t>
      </w:r>
      <w:r>
        <w:rPr>
          <w:rFonts w:hint="default" w:ascii="Times New Roman" w:hAnsi="Times New Roman" w:eastAsia="Times New Roman" w:cs="Times New Roman"/>
        </w:rPr>
        <w:t>This study was approved and supervised by the Clinical Research Ethics Committee of Zhongda Hospital Affiliated to Southeast University (approval number: 2024ZDSYLL095-P01). Written informed consent was obtained from each participant before enrollment. Procedures for screening participants (Figure 1).</w:t>
      </w:r>
    </w:p>
    <w:p w14:paraId="0A7DD404">
      <w:pPr>
        <w:rPr>
          <w:rFonts w:hint="default" w:ascii="Times New Roman" w:hAnsi="Times New Roman" w:cs="Times New Roman"/>
          <w:b/>
          <w:bCs/>
          <w:sz w:val="24"/>
          <w:szCs w:val="24"/>
        </w:rPr>
      </w:pPr>
      <w:r>
        <w:rPr>
          <w:rFonts w:hint="default" w:ascii="Times New Roman" w:hAnsi="Times New Roman" w:eastAsia="Times New Roman" w:cs="Times New Roman"/>
          <w:b/>
          <w:bCs/>
          <w:sz w:val="24"/>
          <w:szCs w:val="24"/>
        </w:rPr>
        <w:t>Serum biochemical test</w:t>
      </w:r>
    </w:p>
    <w:p w14:paraId="153AF171">
      <w:pPr>
        <w:ind w:firstLine="480" w:firstLineChars="200"/>
        <w:rPr>
          <w:rFonts w:hint="default" w:ascii="Times New Roman" w:hAnsi="Times New Roman" w:cs="Times New Roman"/>
          <w:sz w:val="24"/>
          <w:szCs w:val="24"/>
        </w:rPr>
      </w:pPr>
      <w:r>
        <w:rPr>
          <w:rFonts w:hint="default" w:ascii="Times New Roman" w:hAnsi="Times New Roman" w:eastAsia="Times New Roman" w:cs="Times New Roman"/>
          <w:sz w:val="24"/>
          <w:szCs w:val="24"/>
        </w:rPr>
        <w:t>Overnight fasting venous blood samples were collected from all subjects before 9:00 AM. Serum samples were separated by centrifugation and stored at −80°C freezer until measurement.</w:t>
      </w:r>
    </w:p>
    <w:p w14:paraId="664AA9ED">
      <w:pPr>
        <w:ind w:firstLine="480" w:firstLineChars="200"/>
        <w:rPr>
          <w:rFonts w:hint="default" w:ascii="Times New Roman" w:hAnsi="Times New Roman" w:cs="Times New Roman"/>
          <w:sz w:val="24"/>
          <w:szCs w:val="24"/>
        </w:rPr>
      </w:pPr>
      <w:r>
        <w:rPr>
          <w:rFonts w:hint="default" w:ascii="Times New Roman" w:hAnsi="Times New Roman" w:eastAsia="Times New Roman" w:cs="Times New Roman"/>
          <w:sz w:val="24"/>
          <w:szCs w:val="24"/>
        </w:rPr>
        <w:t>FGF19 Quantikine kit produced by Shanghai Enzyme Linked Biotechnology Co., LTD was used to detect serum FGF19.</w:t>
      </w:r>
    </w:p>
    <w:p w14:paraId="6619A1C8">
      <w:pPr>
        <w:ind w:firstLine="480" w:firstLineChars="200"/>
        <w:rPr>
          <w:rFonts w:hint="default" w:ascii="Times New Roman" w:hAnsi="Times New Roman" w:cs="Times New Roman"/>
          <w:sz w:val="24"/>
          <w:szCs w:val="24"/>
        </w:rPr>
      </w:pPr>
      <w:r>
        <w:rPr>
          <w:rFonts w:hint="default" w:ascii="Times New Roman" w:hAnsi="Times New Roman" w:eastAsia="Times New Roman" w:cs="Times New Roman"/>
          <w:sz w:val="24"/>
          <w:szCs w:val="24"/>
        </w:rPr>
        <w:t>Serum C4 was detected by ultra performance liquid chromatography-mass spectrometry (UPLC-MS/MS).</w:t>
      </w:r>
    </w:p>
    <w:p w14:paraId="633D57DF">
      <w:pPr>
        <w:rPr>
          <w:rFonts w:hint="default" w:ascii="Times New Roman" w:hAnsi="Times New Roman" w:cs="Times New Roman"/>
          <w:b/>
          <w:bCs/>
          <w:sz w:val="24"/>
          <w:szCs w:val="24"/>
        </w:rPr>
      </w:pPr>
      <w:r>
        <w:rPr>
          <w:rFonts w:hint="default" w:ascii="Times New Roman" w:hAnsi="Times New Roman" w:eastAsia="Times New Roman" w:cs="Times New Roman"/>
          <w:b/>
          <w:bCs/>
          <w:sz w:val="24"/>
          <w:szCs w:val="24"/>
        </w:rPr>
        <w:t>Testing of stool samples</w:t>
      </w:r>
    </w:p>
    <w:p w14:paraId="1AC137E3">
      <w:pPr>
        <w:ind w:firstLine="480" w:firstLineChars="200"/>
        <w:rPr>
          <w:rFonts w:hint="default" w:ascii="Times New Roman" w:hAnsi="Times New Roman" w:cs="Times New Roman"/>
          <w:iCs/>
          <w:sz w:val="24"/>
          <w:szCs w:val="24"/>
        </w:rPr>
      </w:pPr>
      <w:r>
        <w:rPr>
          <w:rFonts w:hint="default" w:ascii="Times New Roman" w:hAnsi="Times New Roman" w:eastAsia="Times New Roman" w:cs="Times New Roman"/>
          <w:sz w:val="24"/>
          <w:szCs w:val="24"/>
        </w:rPr>
        <w:t>Single random fecal bile acid test: Measurement was performed using the human total bile Acid ELISA test kit.</w:t>
      </w:r>
    </w:p>
    <w:p w14:paraId="0E96761B">
      <w:pPr>
        <w:ind w:firstLine="480" w:firstLineChars="200"/>
        <w:rPr>
          <w:rFonts w:hint="default" w:ascii="Times New Roman" w:hAnsi="Times New Roman" w:cs="Times New Roman"/>
          <w:iCs/>
          <w:sz w:val="24"/>
          <w:szCs w:val="24"/>
        </w:rPr>
      </w:pPr>
      <w:r>
        <w:rPr>
          <w:rFonts w:hint="default" w:ascii="Times New Roman" w:hAnsi="Times New Roman" w:eastAsia="Times New Roman" w:cs="Times New Roman"/>
          <w:iCs/>
          <w:sz w:val="24"/>
          <w:szCs w:val="24"/>
        </w:rPr>
        <w:t>After eating a standard 50g fatty meal before 9:00 a.m., the first fecal samples were collected and the total bile acid content was detected.</w:t>
      </w:r>
    </w:p>
    <w:p w14:paraId="3D3DB257">
      <w:pPr>
        <w:widowControl/>
        <w:jc w:val="left"/>
        <w:rPr>
          <w:rFonts w:hint="default" w:ascii="Times New Roman" w:hAnsi="Times New Roman" w:eastAsia="宋体" w:cs="Times New Roman"/>
          <w:kern w:val="0"/>
          <w:sz w:val="24"/>
          <w:szCs w:val="24"/>
        </w:rPr>
      </w:pPr>
    </w:p>
    <w:p w14:paraId="2E086F5D">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drawing>
          <wp:inline distT="0" distB="0" distL="0" distR="0">
            <wp:extent cx="5353050" cy="4635500"/>
            <wp:effectExtent l="0" t="0" r="6350" b="0"/>
            <wp:docPr id="210574675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746757" name="图片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353050" cy="4635500"/>
                    </a:xfrm>
                    <a:prstGeom prst="rect">
                      <a:avLst/>
                    </a:prstGeom>
                    <a:noFill/>
                    <a:ln>
                      <a:noFill/>
                    </a:ln>
                  </pic:spPr>
                </pic:pic>
              </a:graphicData>
            </a:graphic>
          </wp:inline>
        </w:drawing>
      </w:r>
    </w:p>
    <w:p w14:paraId="26072DAC">
      <w:pPr>
        <w:rPr>
          <w:rFonts w:hint="default" w:ascii="Times New Roman" w:hAnsi="Times New Roman" w:eastAsia="宋体" w:cs="Times New Roman"/>
          <w:kern w:val="0"/>
          <w:sz w:val="24"/>
          <w:szCs w:val="24"/>
        </w:rPr>
      </w:pPr>
      <w:r>
        <w:rPr>
          <w:rFonts w:hint="default" w:ascii="Times New Roman" w:hAnsi="Times New Roman" w:eastAsia="Times New Roman" w:cs="Times New Roman"/>
          <w:kern w:val="0"/>
          <w:sz w:val="24"/>
          <w:szCs w:val="24"/>
        </w:rPr>
        <w:t>Figure 1. Flow diagram of participants selection</w:t>
      </w:r>
    </w:p>
    <w:p w14:paraId="1C7EC0DA">
      <w:pPr>
        <w:rPr>
          <w:rFonts w:hint="default" w:ascii="Times New Roman" w:hAnsi="Times New Roman" w:cs="Times New Roman"/>
          <w:sz w:val="24"/>
          <w:szCs w:val="24"/>
        </w:rPr>
      </w:pPr>
      <w:r>
        <w:rPr>
          <w:rFonts w:hint="default" w:ascii="Times New Roman" w:hAnsi="Times New Roman" w:eastAsia="Times New Roman" w:cs="Times New Roman"/>
          <w:sz w:val="24"/>
          <w:szCs w:val="24"/>
        </w:rPr>
        <w:t xml:space="preserve">    </w:t>
      </w:r>
    </w:p>
    <w:p w14:paraId="7DAA297D">
      <w:p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Modeling and Validation</w:t>
      </w:r>
    </w:p>
    <w:p w14:paraId="0406A9C2">
      <w:pPr>
        <w:rPr>
          <w:rFonts w:hint="default" w:ascii="Times New Roman" w:hAnsi="Times New Roman" w:eastAsia="宋体" w:cs="Times New Roman"/>
          <w:b w:val="0"/>
          <w:bCs w:val="0"/>
          <w:sz w:val="24"/>
          <w:szCs w:val="24"/>
        </w:rPr>
      </w:pPr>
      <w:r>
        <w:rPr>
          <w:rFonts w:hint="default" w:ascii="Times New Roman" w:hAnsi="Times New Roman" w:eastAsia="Times New Roman" w:cs="Times New Roman"/>
          <w:b w:val="0"/>
          <w:bCs w:val="0"/>
          <w:sz w:val="24"/>
          <w:szCs w:val="24"/>
        </w:rPr>
        <w:t>In this study, the total population was defined as the training set, and 30% of patients were randomly selected as the internal validation set. In the training set, all clinical factors were included in univariate Logistic regression analysis, variables with statistically significant differences (P &lt; 0.05) in univariate analysis were included in multivariate analysis, and variables with still statistically significant differences (P &lt; 0.05) in multivariate analysis were defined as independent predictors. The independent predictors were then visualized to establish a prediction model. Finally, the area under the curve of the receiver operating characteristic curve in the training set and the validation set was used to evaluate the discrimination ability of the model. Calibration plot and Hosmer-Lemeshow test were used to evaluate the accuracy of the model.</w:t>
      </w:r>
    </w:p>
    <w:p w14:paraId="0D449136">
      <w:pPr>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Data analysis</w:t>
      </w:r>
    </w:p>
    <w:p w14:paraId="5750E7AD">
      <w:pPr>
        <w:rPr>
          <w:rFonts w:hint="default" w:ascii="Times New Roman" w:hAnsi="Times New Roman" w:cs="Times New Roman"/>
          <w:b w:val="0"/>
          <w:bCs w:val="0"/>
          <w:color w:val="000000" w:themeColor="text1"/>
          <w:sz w:val="24"/>
          <w:szCs w:val="24"/>
          <w14:textFill>
            <w14:solidFill>
              <w14:schemeClr w14:val="tx1"/>
            </w14:solidFill>
          </w14:textFill>
        </w:rPr>
      </w:pPr>
      <w:r>
        <w:rPr>
          <w:rFonts w:hint="default" w:ascii="Times New Roman" w:hAnsi="Times New Roman" w:eastAsia="Times New Roman" w:cs="Times New Roman"/>
          <w:b w:val="0"/>
          <w:bCs w:val="0"/>
          <w:sz w:val="24"/>
          <w:szCs w:val="24"/>
        </w:rPr>
        <w:t xml:space="preserve"> Measurement data with normal distribution were represented as ±s, and comparison was analyzed using one-way analysis of variance. </w:t>
      </w:r>
      <w:bookmarkStart w:id="0" w:name="_Hlk74814227"/>
      <w:r>
        <w:rPr>
          <w:rFonts w:hint="default" w:ascii="Times New Roman" w:hAnsi="Times New Roman" w:cs="Times New Roman"/>
          <w:b w:val="0"/>
          <w:bCs w:val="0"/>
          <w:sz w:val="24"/>
          <w:szCs w:val="24"/>
        </w:rPr>
        <w:sym w:font="Symbol" w:char="0060"/>
      </w:r>
      <w:r>
        <w:rPr>
          <w:rFonts w:hint="default" w:ascii="Times New Roman" w:hAnsi="Times New Roman" w:cs="Times New Roman"/>
          <w:b w:val="0"/>
          <w:bCs w:val="0"/>
          <w:sz w:val="24"/>
          <w:szCs w:val="24"/>
        </w:rPr>
        <w:sym w:font="Symbol" w:char="0063"/>
      </w:r>
      <w:bookmarkEnd w:id="0"/>
      <w:r>
        <w:rPr>
          <w:rFonts w:hint="default" w:ascii="Times New Roman" w:hAnsi="Times New Roman" w:eastAsia="Times New Roman" w:cs="Times New Roman"/>
          <w:b w:val="0"/>
          <w:bCs w:val="0"/>
          <w:sz w:val="24"/>
          <w:szCs w:val="24"/>
        </w:rPr>
        <w:t xml:space="preserve">Measurement data with skewed distribution were represented as M (Q1, Q3), comparison between multiple groups was analyzed using the Kruskal-Wallis H test, and comparison between two groups was analyzed using the Mann-Whitney U test. Count data were expressed as the number of cases and percentage, and the comparison was performed by chi-square test. logistic regression was used to analyze the influencing factors of BAD, and the area under the curve (AUC) of receiver operator characteristic curve (ROC) was calculated.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R 4.5.1 was used for data analysis and graphs in this study</w:t>
      </w:r>
    </w:p>
    <w:p w14:paraId="2199987D">
      <w:pPr>
        <w:rPr>
          <w:rFonts w:hint="default" w:ascii="Times New Roman" w:hAnsi="Times New Roman" w:eastAsia="宋体" w:cs="Times New Roman"/>
          <w:b/>
          <w:bCs/>
          <w:sz w:val="24"/>
          <w:szCs w:val="24"/>
        </w:rPr>
      </w:pPr>
    </w:p>
    <w:p w14:paraId="1C7BC276">
      <w:pPr>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Results:</w:t>
      </w:r>
    </w:p>
    <w:p w14:paraId="52DFF48B">
      <w:pPr>
        <w:numPr>
          <w:ilvl w:val="0"/>
          <w:numId w:val="0"/>
        </w:numP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eastAsia="Times New Roman" w:cs="Times New Roman"/>
          <w:b/>
          <w:bCs/>
          <w:color w:val="000000" w:themeColor="text1"/>
          <w:sz w:val="24"/>
          <w:szCs w:val="24"/>
          <w14:textFill>
            <w14:solidFill>
              <w14:schemeClr w14:val="tx1"/>
            </w14:solidFill>
          </w14:textFill>
        </w:rPr>
        <w:t>Baseline characteristics of the patients</w:t>
      </w:r>
    </w:p>
    <w:p w14:paraId="231E49EA">
      <w:pPr>
        <w:ind w:firstLine="480" w:firstLineChars="200"/>
        <w:rPr>
          <w:rFonts w:hint="default" w:ascii="Times New Roman" w:hAnsi="Times New Roman" w:eastAsia="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sz w:val="24"/>
          <w:szCs w:val="24"/>
          <w14:textFill>
            <w14:solidFill>
              <w14:schemeClr w14:val="tx1"/>
            </w14:solidFill>
          </w14:textFill>
        </w:rPr>
        <w:t xml:space="preserve">A total of 115 subjects were enrolled in this study, including 38 (33.04%) in the healthy control group, 39 (33.91%) in the NABD group, and 38 (33.04%) in the BAD group. There were significant differences among the three groups in the daily Stool frequency, serum 7aC4, FGF19, </w:t>
      </w:r>
      <w:r>
        <w:rPr>
          <w:rFonts w:hint="default" w:ascii="Times New Roman" w:hAnsi="Times New Roman" w:eastAsia="Times New Roman" w:cs="Times New Roman"/>
          <w:sz w:val="24"/>
          <w:szCs w:val="24"/>
        </w:rPr>
        <w:t>FBA after FM</w:t>
      </w:r>
      <w:r>
        <w:rPr>
          <w:rFonts w:hint="default" w:ascii="Times New Roman" w:hAnsi="Times New Roman" w:eastAsia="Times New Roman" w:cs="Times New Roman"/>
          <w:color w:val="000000" w:themeColor="text1"/>
          <w:sz w:val="24"/>
          <w:szCs w:val="24"/>
          <w14:textFill>
            <w14:solidFill>
              <w14:schemeClr w14:val="tx1"/>
            </w14:solidFill>
          </w14:textFill>
        </w:rPr>
        <w:t xml:space="preserve"> level, and Stool consistency (BSFS) (P&lt;0.05). However, there was no significant difference in the distribution of age, body mass index and gender among the three groups (P&gt;0.05) (Table 1).</w:t>
      </w:r>
    </w:p>
    <w:p w14:paraId="6DC520A6">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Table 1 </w:t>
      </w:r>
      <w:r>
        <w:rPr>
          <w:rFonts w:hint="eastAsia" w:ascii="Times New Roman" w:hAnsi="Times New Roman" w:eastAsia="宋体" w:cs="Times New Roman"/>
          <w:sz w:val="24"/>
          <w:szCs w:val="24"/>
          <w:lang w:val="en-US" w:eastAsia="zh-CN"/>
        </w:rPr>
        <w:t>.</w:t>
      </w:r>
      <w:r>
        <w:rPr>
          <w:rFonts w:hint="default" w:ascii="Times New Roman" w:hAnsi="Times New Roman" w:eastAsia="Times New Roman" w:cs="Times New Roman"/>
          <w:sz w:val="24"/>
          <w:szCs w:val="24"/>
        </w:rPr>
        <w:t>Patient characteristics</w:t>
      </w:r>
    </w:p>
    <w:tbl>
      <w:tblPr>
        <w:tblStyle w:val="7"/>
        <w:tblW w:w="5239" w:type="pct"/>
        <w:jc w:val="center"/>
        <w:tblLayout w:type="fixed"/>
        <w:tblCellMar>
          <w:top w:w="0" w:type="dxa"/>
          <w:left w:w="108" w:type="dxa"/>
          <w:bottom w:w="0" w:type="dxa"/>
          <w:right w:w="108" w:type="dxa"/>
        </w:tblCellMar>
      </w:tblPr>
      <w:tblGrid>
        <w:gridCol w:w="2482"/>
        <w:gridCol w:w="1750"/>
        <w:gridCol w:w="1986"/>
        <w:gridCol w:w="1579"/>
        <w:gridCol w:w="671"/>
        <w:gridCol w:w="236"/>
      </w:tblGrid>
      <w:tr w14:paraId="75303FC7">
        <w:tblPrEx>
          <w:tblCellMar>
            <w:top w:w="0" w:type="dxa"/>
            <w:left w:w="108" w:type="dxa"/>
            <w:bottom w:w="0" w:type="dxa"/>
            <w:right w:w="108" w:type="dxa"/>
          </w:tblCellMar>
        </w:tblPrEx>
        <w:trPr>
          <w:gridAfter w:val="1"/>
          <w:wAfter w:w="135" w:type="pct"/>
          <w:trHeight w:val="312" w:hRule="atLeast"/>
          <w:jc w:val="center"/>
        </w:trPr>
        <w:tc>
          <w:tcPr>
            <w:tcW w:w="1425" w:type="pct"/>
            <w:vMerge w:val="restart"/>
            <w:tcBorders>
              <w:top w:val="single" w:color="000000" w:sz="8" w:space="0"/>
              <w:left w:val="nil"/>
              <w:bottom w:val="single" w:color="000000" w:sz="8" w:space="0"/>
              <w:right w:val="nil"/>
            </w:tcBorders>
            <w:shd w:val="clear" w:color="auto" w:fill="FFFFFF"/>
            <w:tcMar>
              <w:top w:w="0" w:type="dxa"/>
              <w:left w:w="0" w:type="dxa"/>
              <w:bottom w:w="0" w:type="dxa"/>
              <w:right w:w="0" w:type="dxa"/>
            </w:tcMar>
            <w:vAlign w:val="center"/>
          </w:tcPr>
          <w:p w14:paraId="3E827AD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Variables</w:t>
            </w:r>
          </w:p>
        </w:tc>
        <w:tc>
          <w:tcPr>
            <w:tcW w:w="1005" w:type="pct"/>
            <w:vMerge w:val="restart"/>
            <w:tcBorders>
              <w:top w:val="single" w:color="000000" w:sz="8" w:space="0"/>
              <w:left w:val="nil"/>
              <w:bottom w:val="single" w:color="000000" w:sz="8" w:space="0"/>
              <w:right w:val="nil"/>
            </w:tcBorders>
            <w:shd w:val="clear" w:color="auto" w:fill="FFFFFF"/>
            <w:tcMar>
              <w:top w:w="0" w:type="dxa"/>
              <w:left w:w="0" w:type="dxa"/>
              <w:bottom w:w="0" w:type="dxa"/>
              <w:right w:w="0" w:type="dxa"/>
            </w:tcMar>
            <w:vAlign w:val="center"/>
          </w:tcPr>
          <w:p w14:paraId="2EAE56CE">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HV group</w:t>
            </w:r>
          </w:p>
        </w:tc>
        <w:tc>
          <w:tcPr>
            <w:tcW w:w="1140" w:type="pct"/>
            <w:vMerge w:val="restart"/>
            <w:tcBorders>
              <w:top w:val="single" w:color="000000" w:sz="8" w:space="0"/>
              <w:left w:val="nil"/>
              <w:bottom w:val="single" w:color="000000" w:sz="8" w:space="0"/>
              <w:right w:val="nil"/>
            </w:tcBorders>
            <w:shd w:val="clear" w:color="auto" w:fill="FFFFFF"/>
            <w:tcMar>
              <w:top w:w="0" w:type="dxa"/>
              <w:left w:w="0" w:type="dxa"/>
              <w:bottom w:w="0" w:type="dxa"/>
              <w:right w:w="0" w:type="dxa"/>
            </w:tcMar>
            <w:vAlign w:val="center"/>
          </w:tcPr>
          <w:p w14:paraId="7144DD1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NBAD group</w:t>
            </w:r>
          </w:p>
        </w:tc>
        <w:tc>
          <w:tcPr>
            <w:tcW w:w="907" w:type="pct"/>
            <w:vMerge w:val="restart"/>
            <w:tcBorders>
              <w:top w:val="single" w:color="000000" w:sz="8" w:space="0"/>
              <w:left w:val="nil"/>
              <w:bottom w:val="single" w:color="000000" w:sz="8" w:space="0"/>
              <w:right w:val="nil"/>
            </w:tcBorders>
            <w:shd w:val="clear" w:color="auto" w:fill="FFFFFF"/>
            <w:tcMar>
              <w:top w:w="0" w:type="dxa"/>
              <w:left w:w="0" w:type="dxa"/>
              <w:bottom w:w="0" w:type="dxa"/>
              <w:right w:w="0" w:type="dxa"/>
            </w:tcMar>
            <w:vAlign w:val="center"/>
          </w:tcPr>
          <w:p w14:paraId="79E3E89E">
            <w:pPr>
              <w:rPr>
                <w:rFonts w:hint="default" w:ascii="Times New Roman" w:hAnsi="Times New Roman" w:eastAsia="宋体" w:cs="Times New Roman"/>
                <w:sz w:val="24"/>
                <w:szCs w:val="24"/>
                <w:lang w:val="en-US" w:eastAsia="zh-CN"/>
              </w:rPr>
            </w:pPr>
            <w:r>
              <w:rPr>
                <w:rFonts w:hint="default" w:ascii="Times New Roman" w:hAnsi="Times New Roman" w:eastAsia="Times New Roman" w:cs="Times New Roman"/>
                <w:sz w:val="24"/>
                <w:szCs w:val="24"/>
              </w:rPr>
              <w:t>BAD group</w:t>
            </w:r>
            <w:r>
              <w:rPr>
                <w:rFonts w:hint="eastAsia" w:ascii="Times New Roman" w:hAnsi="Times New Roman" w:eastAsia="宋体" w:cs="Times New Roman"/>
                <w:sz w:val="24"/>
                <w:szCs w:val="24"/>
                <w:lang w:val="en-US" w:eastAsia="zh-CN"/>
              </w:rPr>
              <w:t xml:space="preserve">    </w:t>
            </w:r>
          </w:p>
        </w:tc>
        <w:tc>
          <w:tcPr>
            <w:tcW w:w="385" w:type="pct"/>
            <w:vMerge w:val="restart"/>
            <w:tcBorders>
              <w:top w:val="single" w:color="000000" w:sz="8" w:space="0"/>
              <w:left w:val="nil"/>
              <w:bottom w:val="single" w:color="000000" w:sz="8" w:space="0"/>
              <w:right w:val="nil"/>
            </w:tcBorders>
            <w:shd w:val="clear" w:color="auto" w:fill="FFFFFF"/>
            <w:tcMar>
              <w:top w:w="0" w:type="dxa"/>
              <w:left w:w="0" w:type="dxa"/>
              <w:bottom w:w="0" w:type="dxa"/>
              <w:right w:w="0" w:type="dxa"/>
            </w:tcMar>
            <w:vAlign w:val="center"/>
          </w:tcPr>
          <w:p w14:paraId="375FE711">
            <w:pPr>
              <w:rPr>
                <w:rFonts w:hint="default" w:ascii="Times New Roman" w:hAnsi="Times New Roman" w:eastAsia="宋体" w:cs="Times New Roman"/>
                <w:i/>
                <w:sz w:val="24"/>
                <w:szCs w:val="24"/>
              </w:rPr>
            </w:pPr>
            <w:r>
              <w:rPr>
                <w:rFonts w:hint="default" w:ascii="Times New Roman" w:hAnsi="Times New Roman" w:eastAsia="Times New Roman" w:cs="Times New Roman"/>
                <w:i/>
                <w:sz w:val="24"/>
                <w:szCs w:val="24"/>
              </w:rPr>
              <w:t>P</w:t>
            </w:r>
          </w:p>
        </w:tc>
      </w:tr>
      <w:tr w14:paraId="1C6A52D4">
        <w:tblPrEx>
          <w:tblCellMar>
            <w:top w:w="0" w:type="dxa"/>
            <w:left w:w="108" w:type="dxa"/>
            <w:bottom w:w="0" w:type="dxa"/>
            <w:right w:w="108" w:type="dxa"/>
          </w:tblCellMar>
        </w:tblPrEx>
        <w:trPr>
          <w:trHeight w:val="312" w:hRule="atLeast"/>
          <w:jc w:val="center"/>
        </w:trPr>
        <w:tc>
          <w:tcPr>
            <w:tcW w:w="1425" w:type="pct"/>
            <w:vMerge w:val="continue"/>
            <w:tcBorders>
              <w:top w:val="single" w:color="000000" w:sz="8" w:space="0"/>
              <w:left w:val="nil"/>
              <w:bottom w:val="single" w:color="auto" w:sz="8" w:space="0"/>
              <w:right w:val="nil"/>
            </w:tcBorders>
            <w:vAlign w:val="center"/>
          </w:tcPr>
          <w:p w14:paraId="570BB5DE">
            <w:pPr>
              <w:rPr>
                <w:rFonts w:hint="default" w:ascii="Times New Roman" w:hAnsi="Times New Roman" w:eastAsia="宋体" w:cs="Times New Roman"/>
                <w:sz w:val="24"/>
                <w:szCs w:val="24"/>
              </w:rPr>
            </w:pPr>
          </w:p>
        </w:tc>
        <w:tc>
          <w:tcPr>
            <w:tcW w:w="1005" w:type="pct"/>
            <w:vMerge w:val="continue"/>
            <w:tcBorders>
              <w:top w:val="single" w:color="000000" w:sz="8" w:space="0"/>
              <w:left w:val="nil"/>
              <w:bottom w:val="single" w:color="auto" w:sz="8" w:space="0"/>
              <w:right w:val="nil"/>
            </w:tcBorders>
            <w:vAlign w:val="center"/>
          </w:tcPr>
          <w:p w14:paraId="774CFA29">
            <w:pPr>
              <w:rPr>
                <w:rFonts w:hint="default" w:ascii="Times New Roman" w:hAnsi="Times New Roman" w:eastAsia="宋体" w:cs="Times New Roman"/>
                <w:sz w:val="24"/>
                <w:szCs w:val="24"/>
              </w:rPr>
            </w:pPr>
          </w:p>
        </w:tc>
        <w:tc>
          <w:tcPr>
            <w:tcW w:w="1140" w:type="pct"/>
            <w:vMerge w:val="continue"/>
            <w:tcBorders>
              <w:top w:val="single" w:color="000000" w:sz="8" w:space="0"/>
              <w:left w:val="nil"/>
              <w:bottom w:val="single" w:color="auto" w:sz="8" w:space="0"/>
              <w:right w:val="nil"/>
            </w:tcBorders>
            <w:vAlign w:val="center"/>
          </w:tcPr>
          <w:p w14:paraId="5F25E20A">
            <w:pPr>
              <w:rPr>
                <w:rFonts w:hint="default" w:ascii="Times New Roman" w:hAnsi="Times New Roman" w:eastAsia="宋体" w:cs="Times New Roman"/>
                <w:sz w:val="24"/>
                <w:szCs w:val="24"/>
              </w:rPr>
            </w:pPr>
          </w:p>
        </w:tc>
        <w:tc>
          <w:tcPr>
            <w:tcW w:w="907" w:type="pct"/>
            <w:vMerge w:val="continue"/>
            <w:tcBorders>
              <w:top w:val="single" w:color="000000" w:sz="8" w:space="0"/>
              <w:left w:val="nil"/>
              <w:bottom w:val="single" w:color="auto" w:sz="8" w:space="0"/>
              <w:right w:val="nil"/>
            </w:tcBorders>
            <w:vAlign w:val="center"/>
          </w:tcPr>
          <w:p w14:paraId="4B5D903E">
            <w:pPr>
              <w:rPr>
                <w:rFonts w:hint="default" w:ascii="Times New Roman" w:hAnsi="Times New Roman" w:eastAsia="宋体" w:cs="Times New Roman"/>
                <w:sz w:val="24"/>
                <w:szCs w:val="24"/>
              </w:rPr>
            </w:pPr>
          </w:p>
        </w:tc>
        <w:tc>
          <w:tcPr>
            <w:tcW w:w="385" w:type="pct"/>
            <w:vMerge w:val="continue"/>
            <w:tcBorders>
              <w:top w:val="single" w:color="000000" w:sz="8" w:space="0"/>
              <w:left w:val="nil"/>
              <w:bottom w:val="single" w:color="auto" w:sz="8" w:space="0"/>
              <w:right w:val="nil"/>
            </w:tcBorders>
            <w:vAlign w:val="center"/>
          </w:tcPr>
          <w:p w14:paraId="5F7388F7">
            <w:pPr>
              <w:rPr>
                <w:rFonts w:hint="default" w:ascii="Times New Roman" w:hAnsi="Times New Roman" w:eastAsia="宋体" w:cs="Times New Roman"/>
                <w:i/>
                <w:sz w:val="24"/>
                <w:szCs w:val="24"/>
              </w:rPr>
            </w:pPr>
          </w:p>
        </w:tc>
        <w:tc>
          <w:tcPr>
            <w:tcW w:w="135" w:type="pct"/>
            <w:vAlign w:val="center"/>
          </w:tcPr>
          <w:p w14:paraId="6E5A61E4">
            <w:pPr>
              <w:rPr>
                <w:rFonts w:hint="default" w:ascii="Times New Roman" w:hAnsi="Times New Roman" w:eastAsia="宋体" w:cs="Times New Roman"/>
                <w:i/>
                <w:sz w:val="24"/>
                <w:szCs w:val="24"/>
              </w:rPr>
            </w:pPr>
          </w:p>
        </w:tc>
      </w:tr>
      <w:tr w14:paraId="567104D3">
        <w:tblPrEx>
          <w:tblCellMar>
            <w:top w:w="0" w:type="dxa"/>
            <w:left w:w="108" w:type="dxa"/>
            <w:bottom w:w="0" w:type="dxa"/>
            <w:right w:w="108" w:type="dxa"/>
          </w:tblCellMar>
        </w:tblPrEx>
        <w:trPr>
          <w:jc w:val="center"/>
        </w:trPr>
        <w:tc>
          <w:tcPr>
            <w:tcW w:w="1425" w:type="pct"/>
            <w:tcBorders>
              <w:top w:val="single" w:color="auto" w:sz="8" w:space="0"/>
              <w:left w:val="nil"/>
              <w:right w:val="nil"/>
            </w:tcBorders>
            <w:shd w:val="clear" w:color="auto" w:fill="FFFFFF"/>
            <w:tcMar>
              <w:top w:w="0" w:type="dxa"/>
              <w:left w:w="0" w:type="dxa"/>
              <w:bottom w:w="0" w:type="dxa"/>
              <w:right w:w="0" w:type="dxa"/>
            </w:tcMar>
            <w:vAlign w:val="center"/>
          </w:tcPr>
          <w:p w14:paraId="35F8512E">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Total(n)</w:t>
            </w:r>
          </w:p>
        </w:tc>
        <w:tc>
          <w:tcPr>
            <w:tcW w:w="1005" w:type="pct"/>
            <w:tcBorders>
              <w:top w:val="single" w:color="auto" w:sz="8" w:space="0"/>
              <w:left w:val="nil"/>
              <w:right w:val="nil"/>
            </w:tcBorders>
            <w:shd w:val="clear" w:color="auto" w:fill="FFFFFF"/>
            <w:tcMar>
              <w:top w:w="0" w:type="dxa"/>
              <w:left w:w="0" w:type="dxa"/>
              <w:bottom w:w="0" w:type="dxa"/>
              <w:right w:w="0" w:type="dxa"/>
            </w:tcMar>
            <w:vAlign w:val="center"/>
          </w:tcPr>
          <w:p w14:paraId="124F141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38</w:t>
            </w:r>
          </w:p>
        </w:tc>
        <w:tc>
          <w:tcPr>
            <w:tcW w:w="1140" w:type="pct"/>
            <w:tcBorders>
              <w:top w:val="single" w:color="auto" w:sz="8" w:space="0"/>
              <w:left w:val="nil"/>
              <w:right w:val="nil"/>
            </w:tcBorders>
            <w:shd w:val="clear" w:color="auto" w:fill="FFFFFF"/>
            <w:tcMar>
              <w:top w:w="0" w:type="dxa"/>
              <w:left w:w="0" w:type="dxa"/>
              <w:bottom w:w="0" w:type="dxa"/>
              <w:right w:w="0" w:type="dxa"/>
            </w:tcMar>
            <w:vAlign w:val="center"/>
          </w:tcPr>
          <w:p w14:paraId="7EC2DA5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39</w:t>
            </w:r>
          </w:p>
        </w:tc>
        <w:tc>
          <w:tcPr>
            <w:tcW w:w="907" w:type="pct"/>
            <w:tcBorders>
              <w:top w:val="single" w:color="auto" w:sz="8" w:space="0"/>
              <w:left w:val="nil"/>
              <w:right w:val="nil"/>
            </w:tcBorders>
            <w:shd w:val="clear" w:color="auto" w:fill="FFFFFF"/>
            <w:tcMar>
              <w:top w:w="0" w:type="dxa"/>
              <w:left w:w="0" w:type="dxa"/>
              <w:bottom w:w="0" w:type="dxa"/>
              <w:right w:w="0" w:type="dxa"/>
            </w:tcMar>
            <w:vAlign w:val="center"/>
          </w:tcPr>
          <w:p w14:paraId="14405FCE">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38</w:t>
            </w:r>
          </w:p>
        </w:tc>
        <w:tc>
          <w:tcPr>
            <w:tcW w:w="385" w:type="pct"/>
            <w:tcBorders>
              <w:top w:val="single" w:color="auto" w:sz="8" w:space="0"/>
              <w:left w:val="nil"/>
              <w:right w:val="nil"/>
            </w:tcBorders>
            <w:shd w:val="clear" w:color="auto" w:fill="FFFFFF"/>
            <w:tcMar>
              <w:top w:w="0" w:type="dxa"/>
              <w:left w:w="0" w:type="dxa"/>
              <w:bottom w:w="0" w:type="dxa"/>
              <w:right w:w="0" w:type="dxa"/>
            </w:tcMar>
            <w:vAlign w:val="center"/>
          </w:tcPr>
          <w:p w14:paraId="04A82DE4">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w:t>
            </w:r>
          </w:p>
        </w:tc>
        <w:tc>
          <w:tcPr>
            <w:tcW w:w="135" w:type="pct"/>
            <w:vAlign w:val="center"/>
          </w:tcPr>
          <w:p w14:paraId="42F54551">
            <w:pPr>
              <w:rPr>
                <w:rFonts w:hint="default" w:ascii="Times New Roman" w:hAnsi="Times New Roman" w:eastAsia="宋体" w:cs="Times New Roman"/>
                <w:sz w:val="24"/>
                <w:szCs w:val="24"/>
              </w:rPr>
            </w:pPr>
          </w:p>
        </w:tc>
      </w:tr>
      <w:tr w14:paraId="68E638AC">
        <w:tblPrEx>
          <w:tblCellMar>
            <w:top w:w="0" w:type="dxa"/>
            <w:left w:w="108" w:type="dxa"/>
            <w:bottom w:w="0" w:type="dxa"/>
            <w:right w:w="108" w:type="dxa"/>
          </w:tblCellMar>
        </w:tblPrEx>
        <w:trPr>
          <w:jc w:val="center"/>
        </w:trPr>
        <w:tc>
          <w:tcPr>
            <w:tcW w:w="1425" w:type="pct"/>
            <w:tcBorders>
              <w:left w:val="nil"/>
              <w:right w:val="nil"/>
            </w:tcBorders>
            <w:shd w:val="clear" w:color="auto" w:fill="FFFFFF"/>
            <w:tcMar>
              <w:top w:w="0" w:type="dxa"/>
              <w:left w:w="0" w:type="dxa"/>
              <w:bottom w:w="0" w:type="dxa"/>
              <w:right w:w="0" w:type="dxa"/>
            </w:tcMar>
            <w:vAlign w:val="center"/>
          </w:tcPr>
          <w:p w14:paraId="48D2E8AB">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Age(years), Mean ± SD</w:t>
            </w:r>
          </w:p>
        </w:tc>
        <w:tc>
          <w:tcPr>
            <w:tcW w:w="1005" w:type="pct"/>
            <w:tcBorders>
              <w:left w:val="nil"/>
              <w:right w:val="nil"/>
            </w:tcBorders>
            <w:shd w:val="clear" w:color="auto" w:fill="FFFFFF"/>
            <w:tcMar>
              <w:top w:w="0" w:type="dxa"/>
              <w:left w:w="0" w:type="dxa"/>
              <w:bottom w:w="0" w:type="dxa"/>
              <w:right w:w="0" w:type="dxa"/>
            </w:tcMar>
            <w:vAlign w:val="center"/>
          </w:tcPr>
          <w:p w14:paraId="5E34D60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51.58 ± 10.98</w:t>
            </w:r>
          </w:p>
        </w:tc>
        <w:tc>
          <w:tcPr>
            <w:tcW w:w="1140" w:type="pct"/>
            <w:tcBorders>
              <w:left w:val="nil"/>
              <w:right w:val="nil"/>
            </w:tcBorders>
            <w:shd w:val="clear" w:color="auto" w:fill="FFFFFF"/>
            <w:tcMar>
              <w:top w:w="0" w:type="dxa"/>
              <w:left w:w="0" w:type="dxa"/>
              <w:bottom w:w="0" w:type="dxa"/>
              <w:right w:w="0" w:type="dxa"/>
            </w:tcMar>
            <w:vAlign w:val="center"/>
          </w:tcPr>
          <w:p w14:paraId="2C042962">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51.13 ± 11.92</w:t>
            </w:r>
          </w:p>
        </w:tc>
        <w:tc>
          <w:tcPr>
            <w:tcW w:w="907" w:type="pct"/>
            <w:tcBorders>
              <w:left w:val="nil"/>
              <w:right w:val="nil"/>
            </w:tcBorders>
            <w:shd w:val="clear" w:color="auto" w:fill="FFFFFF"/>
            <w:tcMar>
              <w:top w:w="0" w:type="dxa"/>
              <w:left w:w="0" w:type="dxa"/>
              <w:bottom w:w="0" w:type="dxa"/>
              <w:right w:w="0" w:type="dxa"/>
            </w:tcMar>
            <w:vAlign w:val="center"/>
          </w:tcPr>
          <w:p w14:paraId="36B44FB9">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46.74 ± 11.28</w:t>
            </w:r>
          </w:p>
        </w:tc>
        <w:tc>
          <w:tcPr>
            <w:tcW w:w="385" w:type="pct"/>
            <w:tcBorders>
              <w:left w:val="nil"/>
              <w:right w:val="nil"/>
            </w:tcBorders>
            <w:shd w:val="clear" w:color="auto" w:fill="FFFFFF"/>
            <w:tcMar>
              <w:top w:w="0" w:type="dxa"/>
              <w:left w:w="0" w:type="dxa"/>
              <w:bottom w:w="0" w:type="dxa"/>
              <w:right w:w="0" w:type="dxa"/>
            </w:tcMar>
            <w:vAlign w:val="center"/>
          </w:tcPr>
          <w:p w14:paraId="3E632BB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0.128</w:t>
            </w:r>
          </w:p>
        </w:tc>
        <w:tc>
          <w:tcPr>
            <w:tcW w:w="135" w:type="pct"/>
            <w:vAlign w:val="center"/>
          </w:tcPr>
          <w:p w14:paraId="7D92196C">
            <w:pPr>
              <w:rPr>
                <w:rFonts w:hint="default" w:ascii="Times New Roman" w:hAnsi="Times New Roman" w:eastAsia="宋体" w:cs="Times New Roman"/>
                <w:sz w:val="24"/>
                <w:szCs w:val="24"/>
              </w:rPr>
            </w:pPr>
          </w:p>
        </w:tc>
      </w:tr>
      <w:tr w14:paraId="197ECDFA">
        <w:tblPrEx>
          <w:tblCellMar>
            <w:top w:w="0" w:type="dxa"/>
            <w:left w:w="108" w:type="dxa"/>
            <w:bottom w:w="0" w:type="dxa"/>
            <w:right w:w="108" w:type="dxa"/>
          </w:tblCellMar>
        </w:tblPrEx>
        <w:trPr>
          <w:jc w:val="center"/>
        </w:trPr>
        <w:tc>
          <w:tcPr>
            <w:tcW w:w="1425" w:type="pct"/>
            <w:tcBorders>
              <w:left w:val="nil"/>
              <w:bottom w:val="nil"/>
              <w:right w:val="nil"/>
            </w:tcBorders>
            <w:shd w:val="clear" w:color="auto" w:fill="FFFFFF"/>
            <w:tcMar>
              <w:top w:w="0" w:type="dxa"/>
              <w:left w:w="0" w:type="dxa"/>
              <w:bottom w:w="0" w:type="dxa"/>
              <w:right w:w="0" w:type="dxa"/>
            </w:tcMar>
            <w:vAlign w:val="center"/>
          </w:tcPr>
          <w:p w14:paraId="631902D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BMI(kg/m2), Mean ± SD</w:t>
            </w:r>
          </w:p>
        </w:tc>
        <w:tc>
          <w:tcPr>
            <w:tcW w:w="1005" w:type="pct"/>
            <w:tcBorders>
              <w:left w:val="nil"/>
              <w:bottom w:val="nil"/>
              <w:right w:val="nil"/>
            </w:tcBorders>
            <w:shd w:val="clear" w:color="auto" w:fill="FFFFFF"/>
            <w:tcMar>
              <w:top w:w="0" w:type="dxa"/>
              <w:left w:w="0" w:type="dxa"/>
              <w:bottom w:w="0" w:type="dxa"/>
              <w:right w:w="0" w:type="dxa"/>
            </w:tcMar>
            <w:vAlign w:val="center"/>
          </w:tcPr>
          <w:p w14:paraId="518DC7B8">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25.55 ± 2.49</w:t>
            </w:r>
          </w:p>
        </w:tc>
        <w:tc>
          <w:tcPr>
            <w:tcW w:w="1140" w:type="pct"/>
            <w:tcBorders>
              <w:left w:val="nil"/>
              <w:bottom w:val="nil"/>
              <w:right w:val="nil"/>
            </w:tcBorders>
            <w:shd w:val="clear" w:color="auto" w:fill="FFFFFF"/>
            <w:tcMar>
              <w:top w:w="0" w:type="dxa"/>
              <w:left w:w="0" w:type="dxa"/>
              <w:bottom w:w="0" w:type="dxa"/>
              <w:right w:w="0" w:type="dxa"/>
            </w:tcMar>
            <w:vAlign w:val="center"/>
          </w:tcPr>
          <w:p w14:paraId="4733B5BC">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24.80 ± 2.63</w:t>
            </w:r>
          </w:p>
        </w:tc>
        <w:tc>
          <w:tcPr>
            <w:tcW w:w="907" w:type="pct"/>
            <w:tcBorders>
              <w:left w:val="nil"/>
              <w:bottom w:val="nil"/>
              <w:right w:val="nil"/>
            </w:tcBorders>
            <w:shd w:val="clear" w:color="auto" w:fill="FFFFFF"/>
            <w:tcMar>
              <w:top w:w="0" w:type="dxa"/>
              <w:left w:w="0" w:type="dxa"/>
              <w:bottom w:w="0" w:type="dxa"/>
              <w:right w:w="0" w:type="dxa"/>
            </w:tcMar>
            <w:vAlign w:val="center"/>
          </w:tcPr>
          <w:p w14:paraId="25CFC99C">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25.77 ± 2.52</w:t>
            </w:r>
          </w:p>
        </w:tc>
        <w:tc>
          <w:tcPr>
            <w:tcW w:w="385" w:type="pct"/>
            <w:tcBorders>
              <w:left w:val="nil"/>
              <w:bottom w:val="nil"/>
              <w:right w:val="nil"/>
            </w:tcBorders>
            <w:shd w:val="clear" w:color="auto" w:fill="FFFFFF"/>
            <w:tcMar>
              <w:top w:w="0" w:type="dxa"/>
              <w:left w:w="0" w:type="dxa"/>
              <w:bottom w:w="0" w:type="dxa"/>
              <w:right w:w="0" w:type="dxa"/>
            </w:tcMar>
            <w:vAlign w:val="center"/>
          </w:tcPr>
          <w:p w14:paraId="2F76371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0.219</w:t>
            </w:r>
          </w:p>
        </w:tc>
        <w:tc>
          <w:tcPr>
            <w:tcW w:w="135" w:type="pct"/>
            <w:vAlign w:val="center"/>
          </w:tcPr>
          <w:p w14:paraId="652D64BF">
            <w:pPr>
              <w:rPr>
                <w:rFonts w:hint="default" w:ascii="Times New Roman" w:hAnsi="Times New Roman" w:eastAsia="宋体" w:cs="Times New Roman"/>
                <w:sz w:val="24"/>
                <w:szCs w:val="24"/>
              </w:rPr>
            </w:pPr>
          </w:p>
        </w:tc>
      </w:tr>
      <w:tr w14:paraId="6848AA64">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30B0BA73">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Stool Frequency(Bm/Day), M (Q₁, Q₃)</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06EDA453">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1.00 (0.62,1.00)</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65C5AFC2">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3.00 (3.00,3.00)</w:t>
            </w:r>
            <w:r>
              <w:rPr>
                <w:rFonts w:hint="default" w:ascii="Times New Roman" w:hAnsi="Times New Roman" w:eastAsia="Times New Roman" w:cs="Times New Roman"/>
                <w:sz w:val="24"/>
                <w:szCs w:val="24"/>
                <w:vertAlign w:val="superscript"/>
              </w:rPr>
              <w:t>a</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6BF49ABD">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4.00 (4.00,5.00)</w:t>
            </w:r>
            <w:r>
              <w:rPr>
                <w:rFonts w:hint="default" w:ascii="Times New Roman" w:hAnsi="Times New Roman" w:eastAsia="Times New Roman" w:cs="Times New Roman"/>
                <w:sz w:val="24"/>
                <w:szCs w:val="24"/>
                <w:vertAlign w:val="superscript"/>
              </w:rPr>
              <w:t>a</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21E128C4">
            <w:pPr>
              <w:rPr>
                <w:rFonts w:hint="default" w:ascii="Times New Roman" w:hAnsi="Times New Roman" w:eastAsia="宋体" w:cs="Times New Roman"/>
                <w:b/>
                <w:sz w:val="24"/>
                <w:szCs w:val="24"/>
              </w:rPr>
            </w:pPr>
            <w:r>
              <w:rPr>
                <w:rFonts w:hint="default" w:ascii="Times New Roman" w:hAnsi="Times New Roman" w:eastAsia="Times New Roman" w:cs="Times New Roman"/>
                <w:b/>
                <w:sz w:val="24"/>
                <w:szCs w:val="24"/>
              </w:rPr>
              <w:t>&lt;.001</w:t>
            </w:r>
          </w:p>
        </w:tc>
        <w:tc>
          <w:tcPr>
            <w:tcW w:w="135" w:type="pct"/>
            <w:vAlign w:val="center"/>
          </w:tcPr>
          <w:p w14:paraId="55E5B474">
            <w:pPr>
              <w:rPr>
                <w:rFonts w:hint="default" w:ascii="Times New Roman" w:hAnsi="Times New Roman" w:eastAsia="宋体" w:cs="Times New Roman"/>
                <w:sz w:val="24"/>
                <w:szCs w:val="24"/>
              </w:rPr>
            </w:pPr>
          </w:p>
        </w:tc>
      </w:tr>
      <w:tr w14:paraId="4692F682">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46BDBFE1">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7aC4(ng/mL), M (Q₁, Q₃)</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7876F6B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28.24 (22.75,34.06)</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06E4FFB1">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30.49 (23.03,34.29)</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1A31D7FC">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135.35 (72.78,166.31)</w:t>
            </w:r>
            <w:r>
              <w:rPr>
                <w:rFonts w:hint="default" w:ascii="Times New Roman" w:hAnsi="Times New Roman" w:eastAsia="Times New Roman" w:cs="Times New Roman"/>
                <w:sz w:val="24"/>
                <w:szCs w:val="24"/>
                <w:vertAlign w:val="superscript"/>
              </w:rPr>
              <w:t>ab</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0537983F">
            <w:pPr>
              <w:rPr>
                <w:rFonts w:hint="default" w:ascii="Times New Roman" w:hAnsi="Times New Roman" w:eastAsia="宋体" w:cs="Times New Roman"/>
                <w:b/>
                <w:sz w:val="24"/>
                <w:szCs w:val="24"/>
              </w:rPr>
            </w:pPr>
            <w:r>
              <w:rPr>
                <w:rFonts w:hint="default" w:ascii="Times New Roman" w:hAnsi="Times New Roman" w:eastAsia="Times New Roman" w:cs="Times New Roman"/>
                <w:b/>
                <w:sz w:val="24"/>
                <w:szCs w:val="24"/>
              </w:rPr>
              <w:t>&lt;.001</w:t>
            </w:r>
          </w:p>
        </w:tc>
        <w:tc>
          <w:tcPr>
            <w:tcW w:w="135" w:type="pct"/>
            <w:vAlign w:val="center"/>
          </w:tcPr>
          <w:p w14:paraId="40D8571E">
            <w:pPr>
              <w:rPr>
                <w:rFonts w:hint="default" w:ascii="Times New Roman" w:hAnsi="Times New Roman" w:eastAsia="宋体" w:cs="Times New Roman"/>
                <w:sz w:val="24"/>
                <w:szCs w:val="24"/>
              </w:rPr>
            </w:pPr>
          </w:p>
        </w:tc>
      </w:tr>
      <w:tr w14:paraId="79F97D10">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0F07C68D">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FGF19(pg/mL), M (Q₁, Q₃)</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3858C339">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123.34 (117.38,131.85)</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40463DCB">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119.10 (114.75,127.80)</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61BD77A6">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83.66 (69.90,109.37)</w:t>
            </w:r>
            <w:r>
              <w:rPr>
                <w:rFonts w:hint="default" w:ascii="Times New Roman" w:hAnsi="Times New Roman" w:eastAsia="Times New Roman" w:cs="Times New Roman"/>
                <w:sz w:val="24"/>
                <w:szCs w:val="24"/>
                <w:vertAlign w:val="superscript"/>
              </w:rPr>
              <w:t>ab</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3CA41284">
            <w:pPr>
              <w:rPr>
                <w:rFonts w:hint="default" w:ascii="Times New Roman" w:hAnsi="Times New Roman" w:eastAsia="宋体" w:cs="Times New Roman"/>
                <w:b/>
                <w:sz w:val="24"/>
                <w:szCs w:val="24"/>
              </w:rPr>
            </w:pPr>
            <w:r>
              <w:rPr>
                <w:rFonts w:hint="default" w:ascii="Times New Roman" w:hAnsi="Times New Roman" w:eastAsia="Times New Roman" w:cs="Times New Roman"/>
                <w:b/>
                <w:sz w:val="24"/>
                <w:szCs w:val="24"/>
              </w:rPr>
              <w:t>&lt;.001</w:t>
            </w:r>
          </w:p>
        </w:tc>
        <w:tc>
          <w:tcPr>
            <w:tcW w:w="135" w:type="pct"/>
            <w:vAlign w:val="center"/>
          </w:tcPr>
          <w:p w14:paraId="7D672B6A">
            <w:pPr>
              <w:rPr>
                <w:rFonts w:hint="default" w:ascii="Times New Roman" w:hAnsi="Times New Roman" w:eastAsia="宋体" w:cs="Times New Roman"/>
                <w:sz w:val="24"/>
                <w:szCs w:val="24"/>
              </w:rPr>
            </w:pPr>
          </w:p>
        </w:tc>
      </w:tr>
      <w:tr w14:paraId="7B0B44BC">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733FBCE1">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FBA after FM(umol/L), M (Q₁, Q₃)</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6F3DFD7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10.63 (8.88,12.72)</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3832D16C">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11.50 (9.62,13.00)</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1098DF73">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15.44 (13.31,18.90)</w:t>
            </w:r>
            <w:r>
              <w:rPr>
                <w:rFonts w:hint="default" w:ascii="Times New Roman" w:hAnsi="Times New Roman" w:eastAsia="Times New Roman" w:cs="Times New Roman"/>
                <w:sz w:val="24"/>
                <w:szCs w:val="24"/>
                <w:vertAlign w:val="superscript"/>
              </w:rPr>
              <w:t>ab</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53C0EFA1">
            <w:pPr>
              <w:rPr>
                <w:rFonts w:hint="default" w:ascii="Times New Roman" w:hAnsi="Times New Roman" w:eastAsia="宋体" w:cs="Times New Roman"/>
                <w:b/>
                <w:sz w:val="24"/>
                <w:szCs w:val="24"/>
              </w:rPr>
            </w:pPr>
            <w:r>
              <w:rPr>
                <w:rFonts w:hint="default" w:ascii="Times New Roman" w:hAnsi="Times New Roman" w:eastAsia="Times New Roman" w:cs="Times New Roman"/>
                <w:b/>
                <w:sz w:val="24"/>
                <w:szCs w:val="24"/>
              </w:rPr>
              <w:t>&lt;.001</w:t>
            </w:r>
          </w:p>
        </w:tc>
        <w:tc>
          <w:tcPr>
            <w:tcW w:w="135" w:type="pct"/>
            <w:vAlign w:val="center"/>
          </w:tcPr>
          <w:p w14:paraId="2BB5DDD0">
            <w:pPr>
              <w:rPr>
                <w:rFonts w:hint="default" w:ascii="Times New Roman" w:hAnsi="Times New Roman" w:eastAsia="宋体" w:cs="Times New Roman"/>
                <w:sz w:val="24"/>
                <w:szCs w:val="24"/>
              </w:rPr>
            </w:pPr>
          </w:p>
        </w:tc>
      </w:tr>
      <w:tr w14:paraId="1DB05C34">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7A58C7C5">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Gender, n(%)</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3AF4CAED">
            <w:pPr>
              <w:rPr>
                <w:rFonts w:hint="default" w:ascii="Times New Roman" w:hAnsi="Times New Roman" w:eastAsia="宋体" w:cs="Times New Roman"/>
                <w:sz w:val="24"/>
                <w:szCs w:val="24"/>
              </w:rPr>
            </w:pP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5C19B166">
            <w:pPr>
              <w:rPr>
                <w:rFonts w:hint="default" w:ascii="Times New Roman" w:hAnsi="Times New Roman" w:eastAsia="宋体" w:cs="Times New Roman"/>
                <w:sz w:val="24"/>
                <w:szCs w:val="24"/>
              </w:rPr>
            </w:pP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60B784F2">
            <w:pPr>
              <w:rPr>
                <w:rFonts w:hint="default" w:ascii="Times New Roman" w:hAnsi="Times New Roman" w:eastAsia="宋体" w:cs="Times New Roman"/>
                <w:sz w:val="24"/>
                <w:szCs w:val="24"/>
              </w:rPr>
            </w:pP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7B743185">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0.890</w:t>
            </w:r>
          </w:p>
        </w:tc>
        <w:tc>
          <w:tcPr>
            <w:tcW w:w="135" w:type="pct"/>
            <w:vAlign w:val="center"/>
          </w:tcPr>
          <w:p w14:paraId="339CB3F4">
            <w:pPr>
              <w:rPr>
                <w:rFonts w:hint="default" w:ascii="Times New Roman" w:hAnsi="Times New Roman" w:eastAsia="宋体" w:cs="Times New Roman"/>
                <w:sz w:val="24"/>
                <w:szCs w:val="24"/>
              </w:rPr>
            </w:pPr>
          </w:p>
        </w:tc>
      </w:tr>
      <w:tr w14:paraId="67905B26">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11CDF216">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1</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24CCFC8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22 (57.89)</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66FF916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24 (61.54)</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757A8451">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24 (63.16)</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78331E72">
            <w:pPr>
              <w:rPr>
                <w:rFonts w:hint="default" w:ascii="Times New Roman" w:hAnsi="Times New Roman" w:eastAsia="宋体" w:cs="Times New Roman"/>
                <w:sz w:val="24"/>
                <w:szCs w:val="24"/>
              </w:rPr>
            </w:pPr>
          </w:p>
        </w:tc>
        <w:tc>
          <w:tcPr>
            <w:tcW w:w="135" w:type="pct"/>
            <w:vAlign w:val="center"/>
          </w:tcPr>
          <w:p w14:paraId="5C23E18A">
            <w:pPr>
              <w:rPr>
                <w:rFonts w:hint="default" w:ascii="Times New Roman" w:hAnsi="Times New Roman" w:eastAsia="宋体" w:cs="Times New Roman"/>
                <w:sz w:val="24"/>
                <w:szCs w:val="24"/>
              </w:rPr>
            </w:pPr>
          </w:p>
        </w:tc>
      </w:tr>
      <w:tr w14:paraId="05AE9E13">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2805AFD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2</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7D37F903">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16 (42.11)</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6758D87B">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15 (38.46)</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5675D234">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14 (36.84)</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010E07D6">
            <w:pPr>
              <w:rPr>
                <w:rFonts w:hint="default" w:ascii="Times New Roman" w:hAnsi="Times New Roman" w:eastAsia="宋体" w:cs="Times New Roman"/>
                <w:sz w:val="24"/>
                <w:szCs w:val="24"/>
              </w:rPr>
            </w:pPr>
          </w:p>
        </w:tc>
        <w:tc>
          <w:tcPr>
            <w:tcW w:w="135" w:type="pct"/>
            <w:vAlign w:val="center"/>
          </w:tcPr>
          <w:p w14:paraId="124F4249">
            <w:pPr>
              <w:rPr>
                <w:rFonts w:hint="default" w:ascii="Times New Roman" w:hAnsi="Times New Roman" w:eastAsia="宋体" w:cs="Times New Roman"/>
                <w:sz w:val="24"/>
                <w:szCs w:val="24"/>
              </w:rPr>
            </w:pPr>
          </w:p>
        </w:tc>
      </w:tr>
      <w:tr w14:paraId="60F82553">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16F2FCA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Stool consistency (BSFS), n(%)</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02D48322">
            <w:pPr>
              <w:rPr>
                <w:rFonts w:hint="default" w:ascii="Times New Roman" w:hAnsi="Times New Roman" w:eastAsia="宋体" w:cs="Times New Roman"/>
                <w:sz w:val="24"/>
                <w:szCs w:val="24"/>
              </w:rPr>
            </w:pP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2DB75800">
            <w:pPr>
              <w:rPr>
                <w:rFonts w:hint="default" w:ascii="Times New Roman" w:hAnsi="Times New Roman" w:eastAsia="宋体" w:cs="Times New Roman"/>
                <w:sz w:val="24"/>
                <w:szCs w:val="24"/>
              </w:rPr>
            </w:pP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6DB7D36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vertAlign w:val="superscript"/>
              </w:rPr>
              <w:t>ab</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4034FB21">
            <w:pPr>
              <w:rPr>
                <w:rFonts w:hint="default" w:ascii="Times New Roman" w:hAnsi="Times New Roman" w:eastAsia="宋体" w:cs="Times New Roman"/>
                <w:b/>
                <w:sz w:val="24"/>
                <w:szCs w:val="24"/>
              </w:rPr>
            </w:pPr>
            <w:r>
              <w:rPr>
                <w:rFonts w:hint="default" w:ascii="Times New Roman" w:hAnsi="Times New Roman" w:eastAsia="Times New Roman" w:cs="Times New Roman"/>
                <w:b/>
                <w:sz w:val="24"/>
                <w:szCs w:val="24"/>
              </w:rPr>
              <w:t>&lt;.001</w:t>
            </w:r>
          </w:p>
        </w:tc>
        <w:tc>
          <w:tcPr>
            <w:tcW w:w="135" w:type="pct"/>
            <w:vAlign w:val="center"/>
          </w:tcPr>
          <w:p w14:paraId="4B92FCC6">
            <w:pPr>
              <w:rPr>
                <w:rFonts w:hint="default" w:ascii="Times New Roman" w:hAnsi="Times New Roman" w:eastAsia="宋体" w:cs="Times New Roman"/>
                <w:sz w:val="24"/>
                <w:szCs w:val="24"/>
              </w:rPr>
            </w:pPr>
          </w:p>
        </w:tc>
      </w:tr>
      <w:tr w14:paraId="52439A5E">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2ABCC27C">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4</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267DE704">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12 (31.58)</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4714415F">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6 (15.38)</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6F1CA6D6">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0 (0.00)</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39394AF7">
            <w:pPr>
              <w:rPr>
                <w:rFonts w:hint="default" w:ascii="Times New Roman" w:hAnsi="Times New Roman" w:eastAsia="宋体" w:cs="Times New Roman"/>
                <w:sz w:val="24"/>
                <w:szCs w:val="24"/>
              </w:rPr>
            </w:pPr>
          </w:p>
        </w:tc>
        <w:tc>
          <w:tcPr>
            <w:tcW w:w="135" w:type="pct"/>
            <w:vAlign w:val="center"/>
          </w:tcPr>
          <w:p w14:paraId="65FDBCDF">
            <w:pPr>
              <w:rPr>
                <w:rFonts w:hint="default" w:ascii="Times New Roman" w:hAnsi="Times New Roman" w:eastAsia="宋体" w:cs="Times New Roman"/>
                <w:sz w:val="24"/>
                <w:szCs w:val="24"/>
              </w:rPr>
            </w:pPr>
          </w:p>
        </w:tc>
      </w:tr>
      <w:tr w14:paraId="6381F24D">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0685DC72">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5</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5866C227">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16 (42.11)</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7933299B">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24 (61.54)</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3AD01E8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16 (42.11)</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5D305817">
            <w:pPr>
              <w:rPr>
                <w:rFonts w:hint="default" w:ascii="Times New Roman" w:hAnsi="Times New Roman" w:eastAsia="宋体" w:cs="Times New Roman"/>
                <w:sz w:val="24"/>
                <w:szCs w:val="24"/>
              </w:rPr>
            </w:pPr>
          </w:p>
        </w:tc>
        <w:tc>
          <w:tcPr>
            <w:tcW w:w="135" w:type="pct"/>
            <w:vAlign w:val="center"/>
          </w:tcPr>
          <w:p w14:paraId="22B060E5">
            <w:pPr>
              <w:rPr>
                <w:rFonts w:hint="default" w:ascii="Times New Roman" w:hAnsi="Times New Roman" w:eastAsia="宋体" w:cs="Times New Roman"/>
                <w:sz w:val="24"/>
                <w:szCs w:val="24"/>
              </w:rPr>
            </w:pPr>
          </w:p>
        </w:tc>
      </w:tr>
      <w:tr w14:paraId="2ECDA470">
        <w:tblPrEx>
          <w:tblCellMar>
            <w:top w:w="0" w:type="dxa"/>
            <w:left w:w="108" w:type="dxa"/>
            <w:bottom w:w="0" w:type="dxa"/>
            <w:right w:w="108" w:type="dxa"/>
          </w:tblCellMar>
        </w:tblPrEx>
        <w:trPr>
          <w:jc w:val="center"/>
        </w:trPr>
        <w:tc>
          <w:tcPr>
            <w:tcW w:w="1425" w:type="pct"/>
            <w:tcBorders>
              <w:top w:val="nil"/>
              <w:left w:val="nil"/>
              <w:bottom w:val="nil"/>
              <w:right w:val="nil"/>
            </w:tcBorders>
            <w:shd w:val="clear" w:color="auto" w:fill="FFFFFF"/>
            <w:tcMar>
              <w:top w:w="0" w:type="dxa"/>
              <w:left w:w="0" w:type="dxa"/>
              <w:bottom w:w="0" w:type="dxa"/>
              <w:right w:w="0" w:type="dxa"/>
            </w:tcMar>
            <w:vAlign w:val="center"/>
          </w:tcPr>
          <w:p w14:paraId="0B396E42">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6</w:t>
            </w:r>
          </w:p>
        </w:tc>
        <w:tc>
          <w:tcPr>
            <w:tcW w:w="1005" w:type="pct"/>
            <w:tcBorders>
              <w:top w:val="nil"/>
              <w:left w:val="nil"/>
              <w:bottom w:val="nil"/>
              <w:right w:val="nil"/>
            </w:tcBorders>
            <w:shd w:val="clear" w:color="auto" w:fill="FFFFFF"/>
            <w:tcMar>
              <w:top w:w="0" w:type="dxa"/>
              <w:left w:w="0" w:type="dxa"/>
              <w:bottom w:w="0" w:type="dxa"/>
              <w:right w:w="0" w:type="dxa"/>
            </w:tcMar>
            <w:vAlign w:val="center"/>
          </w:tcPr>
          <w:p w14:paraId="35479E3D">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9 (23.68)</w:t>
            </w:r>
          </w:p>
        </w:tc>
        <w:tc>
          <w:tcPr>
            <w:tcW w:w="1140" w:type="pct"/>
            <w:tcBorders>
              <w:top w:val="nil"/>
              <w:left w:val="nil"/>
              <w:bottom w:val="nil"/>
              <w:right w:val="nil"/>
            </w:tcBorders>
            <w:shd w:val="clear" w:color="auto" w:fill="FFFFFF"/>
            <w:tcMar>
              <w:top w:w="0" w:type="dxa"/>
              <w:left w:w="0" w:type="dxa"/>
              <w:bottom w:w="0" w:type="dxa"/>
              <w:right w:w="0" w:type="dxa"/>
            </w:tcMar>
            <w:vAlign w:val="center"/>
          </w:tcPr>
          <w:p w14:paraId="178E4FD9">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8 (20.51)</w:t>
            </w:r>
          </w:p>
        </w:tc>
        <w:tc>
          <w:tcPr>
            <w:tcW w:w="907" w:type="pct"/>
            <w:tcBorders>
              <w:top w:val="nil"/>
              <w:left w:val="nil"/>
              <w:bottom w:val="nil"/>
              <w:right w:val="nil"/>
            </w:tcBorders>
            <w:shd w:val="clear" w:color="auto" w:fill="FFFFFF"/>
            <w:tcMar>
              <w:top w:w="0" w:type="dxa"/>
              <w:left w:w="0" w:type="dxa"/>
              <w:bottom w:w="0" w:type="dxa"/>
              <w:right w:w="0" w:type="dxa"/>
            </w:tcMar>
            <w:vAlign w:val="center"/>
          </w:tcPr>
          <w:p w14:paraId="4999E876">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12 (31.58)</w:t>
            </w:r>
          </w:p>
        </w:tc>
        <w:tc>
          <w:tcPr>
            <w:tcW w:w="385" w:type="pct"/>
            <w:tcBorders>
              <w:top w:val="nil"/>
              <w:left w:val="nil"/>
              <w:bottom w:val="nil"/>
              <w:right w:val="nil"/>
            </w:tcBorders>
            <w:shd w:val="clear" w:color="auto" w:fill="FFFFFF"/>
            <w:tcMar>
              <w:top w:w="0" w:type="dxa"/>
              <w:left w:w="0" w:type="dxa"/>
              <w:bottom w:w="0" w:type="dxa"/>
              <w:right w:w="0" w:type="dxa"/>
            </w:tcMar>
            <w:vAlign w:val="center"/>
          </w:tcPr>
          <w:p w14:paraId="3077CC49">
            <w:pPr>
              <w:rPr>
                <w:rFonts w:hint="default" w:ascii="Times New Roman" w:hAnsi="Times New Roman" w:eastAsia="宋体" w:cs="Times New Roman"/>
                <w:sz w:val="24"/>
                <w:szCs w:val="24"/>
              </w:rPr>
            </w:pPr>
          </w:p>
        </w:tc>
        <w:tc>
          <w:tcPr>
            <w:tcW w:w="135" w:type="pct"/>
            <w:vAlign w:val="center"/>
          </w:tcPr>
          <w:p w14:paraId="7EE4E90D">
            <w:pPr>
              <w:rPr>
                <w:rFonts w:hint="default" w:ascii="Times New Roman" w:hAnsi="Times New Roman" w:eastAsia="宋体" w:cs="Times New Roman"/>
                <w:sz w:val="24"/>
                <w:szCs w:val="24"/>
              </w:rPr>
            </w:pPr>
          </w:p>
        </w:tc>
      </w:tr>
      <w:tr w14:paraId="7B931550">
        <w:tblPrEx>
          <w:tblCellMar>
            <w:top w:w="0" w:type="dxa"/>
            <w:left w:w="108" w:type="dxa"/>
            <w:bottom w:w="0" w:type="dxa"/>
            <w:right w:w="108" w:type="dxa"/>
          </w:tblCellMar>
        </w:tblPrEx>
        <w:trPr>
          <w:jc w:val="center"/>
        </w:trPr>
        <w:tc>
          <w:tcPr>
            <w:tcW w:w="1425" w:type="pct"/>
            <w:tcBorders>
              <w:top w:val="nil"/>
              <w:left w:val="nil"/>
              <w:bottom w:val="single" w:color="666666" w:sz="12" w:space="0"/>
              <w:right w:val="nil"/>
            </w:tcBorders>
            <w:shd w:val="clear" w:color="auto" w:fill="FFFFFF"/>
            <w:tcMar>
              <w:top w:w="0" w:type="dxa"/>
              <w:left w:w="0" w:type="dxa"/>
              <w:bottom w:w="0" w:type="dxa"/>
              <w:right w:w="0" w:type="dxa"/>
            </w:tcMar>
            <w:vAlign w:val="center"/>
          </w:tcPr>
          <w:p w14:paraId="222A3B53">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  7</w:t>
            </w:r>
          </w:p>
        </w:tc>
        <w:tc>
          <w:tcPr>
            <w:tcW w:w="1005" w:type="pct"/>
            <w:tcBorders>
              <w:top w:val="nil"/>
              <w:left w:val="nil"/>
              <w:bottom w:val="single" w:color="666666" w:sz="12" w:space="0"/>
              <w:right w:val="nil"/>
            </w:tcBorders>
            <w:shd w:val="clear" w:color="auto" w:fill="FFFFFF"/>
            <w:tcMar>
              <w:top w:w="0" w:type="dxa"/>
              <w:left w:w="0" w:type="dxa"/>
              <w:bottom w:w="0" w:type="dxa"/>
              <w:right w:w="0" w:type="dxa"/>
            </w:tcMar>
            <w:vAlign w:val="center"/>
          </w:tcPr>
          <w:p w14:paraId="4932A27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 (2.63)</w:t>
            </w:r>
          </w:p>
        </w:tc>
        <w:tc>
          <w:tcPr>
            <w:tcW w:w="1140" w:type="pct"/>
            <w:tcBorders>
              <w:top w:val="nil"/>
              <w:left w:val="nil"/>
              <w:bottom w:val="single" w:color="666666" w:sz="12" w:space="0"/>
              <w:right w:val="nil"/>
            </w:tcBorders>
            <w:shd w:val="clear" w:color="auto" w:fill="FFFFFF"/>
            <w:tcMar>
              <w:top w:w="0" w:type="dxa"/>
              <w:left w:w="0" w:type="dxa"/>
              <w:bottom w:w="0" w:type="dxa"/>
              <w:right w:w="0" w:type="dxa"/>
            </w:tcMar>
            <w:vAlign w:val="center"/>
          </w:tcPr>
          <w:p w14:paraId="368E80E0">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 (2.56)</w:t>
            </w:r>
          </w:p>
        </w:tc>
        <w:tc>
          <w:tcPr>
            <w:tcW w:w="907" w:type="pct"/>
            <w:tcBorders>
              <w:top w:val="nil"/>
              <w:left w:val="nil"/>
              <w:bottom w:val="single" w:color="666666" w:sz="12" w:space="0"/>
              <w:right w:val="nil"/>
            </w:tcBorders>
            <w:shd w:val="clear" w:color="auto" w:fill="FFFFFF"/>
            <w:tcMar>
              <w:top w:w="0" w:type="dxa"/>
              <w:left w:w="0" w:type="dxa"/>
              <w:bottom w:w="0" w:type="dxa"/>
              <w:right w:w="0" w:type="dxa"/>
            </w:tcMar>
            <w:vAlign w:val="center"/>
          </w:tcPr>
          <w:p w14:paraId="13F2D138">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10 (26.32)</w:t>
            </w:r>
          </w:p>
        </w:tc>
        <w:tc>
          <w:tcPr>
            <w:tcW w:w="385" w:type="pct"/>
            <w:tcBorders>
              <w:top w:val="nil"/>
              <w:left w:val="nil"/>
              <w:bottom w:val="single" w:color="666666" w:sz="12" w:space="0"/>
              <w:right w:val="nil"/>
            </w:tcBorders>
            <w:shd w:val="clear" w:color="auto" w:fill="FFFFFF"/>
            <w:tcMar>
              <w:top w:w="0" w:type="dxa"/>
              <w:left w:w="0" w:type="dxa"/>
              <w:bottom w:w="0" w:type="dxa"/>
              <w:right w:w="0" w:type="dxa"/>
            </w:tcMar>
            <w:vAlign w:val="center"/>
          </w:tcPr>
          <w:p w14:paraId="6550FB87">
            <w:pPr>
              <w:rPr>
                <w:rFonts w:hint="default" w:ascii="Times New Roman" w:hAnsi="Times New Roman" w:eastAsia="宋体" w:cs="Times New Roman"/>
                <w:sz w:val="24"/>
                <w:szCs w:val="24"/>
              </w:rPr>
            </w:pPr>
          </w:p>
        </w:tc>
        <w:tc>
          <w:tcPr>
            <w:tcW w:w="135" w:type="pct"/>
            <w:vAlign w:val="center"/>
          </w:tcPr>
          <w:p w14:paraId="6ECE4DFF">
            <w:pPr>
              <w:rPr>
                <w:rFonts w:hint="default" w:ascii="Times New Roman" w:hAnsi="Times New Roman" w:eastAsia="宋体" w:cs="Times New Roman"/>
                <w:sz w:val="24"/>
                <w:szCs w:val="24"/>
              </w:rPr>
            </w:pPr>
          </w:p>
        </w:tc>
      </w:tr>
    </w:tbl>
    <w:p w14:paraId="12D5A102">
      <w:pPr>
        <w:rPr>
          <w:rFonts w:hint="default" w:ascii="Times New Roman" w:hAnsi="Times New Roman" w:cs="Times New Roman"/>
          <w:sz w:val="21"/>
          <w:szCs w:val="21"/>
        </w:rPr>
      </w:pPr>
      <w:r>
        <w:rPr>
          <w:rFonts w:hint="default" w:ascii="Times New Roman" w:hAnsi="Times New Roman" w:cs="Times New Roman"/>
          <w:sz w:val="21"/>
          <w:szCs w:val="21"/>
        </w:rPr>
        <w:t>BAD bile acid diarrhoea; NBAD non-bile acid diarrhoea; HV Healthy volunteers</w:t>
      </w:r>
    </w:p>
    <w:p w14:paraId="233E6166">
      <w:pPr>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vertAlign w:val="superscript"/>
        </w:rPr>
        <w:t>a</w:t>
      </w:r>
      <w:r>
        <w:rPr>
          <w:rFonts w:hint="default" w:ascii="Times New Roman" w:hAnsi="Times New Roman" w:eastAsia="Times New Roman" w:cs="Times New Roman"/>
          <w:sz w:val="21"/>
          <w:szCs w:val="21"/>
        </w:rPr>
        <w:t>Significant difference than HV group,</w:t>
      </w:r>
      <w:r>
        <w:rPr>
          <w:rFonts w:hint="default" w:ascii="Times New Roman" w:hAnsi="Times New Roman" w:eastAsia="Times New Roman" w:cs="Times New Roman"/>
          <w:sz w:val="21"/>
          <w:szCs w:val="21"/>
          <w:vertAlign w:val="superscript"/>
        </w:rPr>
        <w:t>b</w:t>
      </w:r>
      <w:r>
        <w:rPr>
          <w:rFonts w:hint="default" w:ascii="Times New Roman" w:hAnsi="Times New Roman" w:eastAsia="Times New Roman" w:cs="Times New Roman"/>
          <w:sz w:val="21"/>
          <w:szCs w:val="21"/>
        </w:rPr>
        <w:t xml:space="preserve"> Significant difference than NBAD group.</w:t>
      </w:r>
    </w:p>
    <w:p w14:paraId="20E31755">
      <w:pPr>
        <w:rPr>
          <w:rFonts w:hint="default" w:ascii="Times New Roman" w:hAnsi="Times New Roman" w:eastAsia="Times New Roman" w:cs="Times New Roman"/>
          <w:sz w:val="24"/>
          <w:szCs w:val="24"/>
        </w:rPr>
      </w:pPr>
    </w:p>
    <w:p w14:paraId="6DC44A55">
      <w:pPr>
        <w:numPr>
          <w:ilvl w:val="0"/>
          <w:numId w:val="0"/>
        </w:num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Fecal bile acids after a fat meal were compared among the three groups</w:t>
      </w:r>
    </w:p>
    <w:p w14:paraId="1146C7B3">
      <w:pPr>
        <w:ind w:firstLine="475"/>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The fecal bile acid levels after a fat meal were significantly higher in the BAD group than in the non-BAD group (P &lt; 0.001), while there was no significant difference between the healthy control group and the non-BAD group (P &gt; 0.05) (FIG. 2).</w:t>
      </w:r>
    </w:p>
    <w:p w14:paraId="6367C5BD">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drawing>
          <wp:inline distT="0" distB="0" distL="114300" distR="114300">
            <wp:extent cx="4274820" cy="3291205"/>
            <wp:effectExtent l="0" t="0" r="5080" b="10795"/>
            <wp:docPr id="1" name="图片 1" descr="小提琴图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小提琴图改(1)"/>
                    <pic:cNvPicPr>
                      <a:picLocks noChangeAspect="1"/>
                    </pic:cNvPicPr>
                  </pic:nvPicPr>
                  <pic:blipFill>
                    <a:blip r:embed="rId5"/>
                    <a:stretch>
                      <a:fillRect/>
                    </a:stretch>
                  </pic:blipFill>
                  <pic:spPr>
                    <a:xfrm>
                      <a:off x="0" y="0"/>
                      <a:ext cx="4274820" cy="3291205"/>
                    </a:xfrm>
                    <a:prstGeom prst="rect">
                      <a:avLst/>
                    </a:prstGeom>
                  </pic:spPr>
                </pic:pic>
              </a:graphicData>
            </a:graphic>
          </wp:inline>
        </w:drawing>
      </w:r>
    </w:p>
    <w:p w14:paraId="1F19C7D7">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 xml:space="preserve">Figure 2: Fecal bile acids after </w:t>
      </w:r>
      <w:r>
        <w:rPr>
          <w:rFonts w:hint="eastAsia" w:ascii="Times New Roman" w:hAnsi="Times New Roman" w:eastAsia="宋体" w:cs="Times New Roman"/>
          <w:sz w:val="24"/>
          <w:szCs w:val="24"/>
          <w:lang w:val="en-US" w:eastAsia="zh-CN"/>
        </w:rPr>
        <w:t xml:space="preserve">a </w:t>
      </w:r>
      <w:r>
        <w:rPr>
          <w:rFonts w:hint="default" w:ascii="Times New Roman" w:hAnsi="Times New Roman" w:eastAsia="Times New Roman" w:cs="Times New Roman"/>
          <w:sz w:val="24"/>
          <w:szCs w:val="24"/>
        </w:rPr>
        <w:t>fat meal were significantly higher in the BAD group than in the HV or NBAD groups. *** Significant difference between the two groups, P &lt; 0.001.</w:t>
      </w:r>
    </w:p>
    <w:p w14:paraId="12402995">
      <w:pPr>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Screen for independent predictive factors of BAD diagnosis</w:t>
      </w:r>
    </w:p>
    <w:p w14:paraId="1666EB4A">
      <w:pPr>
        <w:ind w:firstLine="480" w:firstLineChars="200"/>
        <w:rPr>
          <w:rFonts w:hint="default" w:ascii="Times New Roman" w:hAnsi="Times New Roman" w:eastAsia="宋体" w:cs="Times New Roman"/>
          <w:b w:val="0"/>
          <w:bCs w:val="0"/>
          <w:color w:val="000000" w:themeColor="text1"/>
          <w:sz w:val="24"/>
          <w:szCs w:val="24"/>
          <w14:textFill>
            <w14:solidFill>
              <w14:schemeClr w14:val="tx1"/>
            </w14:solidFill>
          </w14:textFill>
        </w:rPr>
      </w:pPr>
      <w:r>
        <w:rPr>
          <w:rFonts w:hint="default" w:ascii="Times New Roman" w:hAnsi="Times New Roman" w:eastAsia="Times New Roman" w:cs="Times New Roman"/>
          <w:b w:val="0"/>
          <w:bCs w:val="0"/>
          <w:color w:val="000000" w:themeColor="text1"/>
          <w:sz w:val="24"/>
          <w:szCs w:val="24"/>
          <w14:textFill>
            <w14:solidFill>
              <w14:schemeClr w14:val="tx1"/>
            </w14:solidFill>
          </w14:textFill>
        </w:rPr>
        <w:t xml:space="preserve">After all the variables were included in the univariate analysis, the results of this study showed that Stool consistency(BSFS) (OR: 5.68,95%CI: 2.43-13.28, P&lt;0.001), serum FGF19 (OR: 0.89,95%CI: 0.84-0.94, P&lt;0.001), FBA (OR: 1.77,95%CI: 1.35-2.32, P&lt;0.001), and fecal bile acid after </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 xml:space="preserve">a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fat meal (OR: 1.84,95%CI: 1.41-2.39, P&lt;0.001) were significantly correlated with BAD.</w:t>
      </w:r>
    </w:p>
    <w:p w14:paraId="52E0C3C5">
      <w:pPr>
        <w:ind w:firstLine="480" w:firstLineChars="200"/>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The factors with differences in univariate analysis were included in multivariate analysis, and those with still statistically significant differences in multivariate analysis (P &lt; 0.05) were defined as independent predictors of BAD. This study showed that the independent predictors screened were Bristol stool trait type, serum FGF19, and fecal bile acid after fat meal (Table 2).</w:t>
      </w:r>
      <w:bookmarkStart w:id="1" w:name="_Hlk210732248"/>
      <w:bookmarkEnd w:id="1"/>
    </w:p>
    <w:p w14:paraId="7E48D7A7">
      <w:pPr>
        <w:rPr>
          <w:rFonts w:hint="eastAsia" w:ascii="Times New Roman" w:hAnsi="Times New Roman" w:eastAsia="宋体" w:cs="Times New Roman"/>
          <w:sz w:val="24"/>
          <w:szCs w:val="24"/>
          <w:lang w:val="en-US" w:eastAsia="zh-CN"/>
        </w:rPr>
      </w:pPr>
      <w:r>
        <w:rPr>
          <w:rFonts w:hint="default" w:ascii="Times New Roman" w:hAnsi="Times New Roman" w:eastAsia="Times New Roman" w:cs="Times New Roman"/>
          <w:sz w:val="24"/>
          <w:szCs w:val="24"/>
        </w:rPr>
        <w:t>Table 2</w:t>
      </w:r>
      <w:r>
        <w:rPr>
          <w:rFonts w:hint="eastAsia" w:ascii="Times New Roman" w:hAnsi="Times New Roman" w:eastAsia="宋体" w:cs="Times New Roman"/>
          <w:sz w:val="24"/>
          <w:szCs w:val="24"/>
          <w:lang w:val="en-US" w:eastAsia="zh-CN"/>
        </w:rPr>
        <w:t>.Univariate and multivariate analyses</w:t>
      </w:r>
    </w:p>
    <w:tbl>
      <w:tblPr>
        <w:tblStyle w:val="7"/>
        <w:tblW w:w="8535" w:type="dxa"/>
        <w:jc w:val="center"/>
        <w:tblLayout w:type="fixed"/>
        <w:tblCellMar>
          <w:top w:w="32" w:type="dxa"/>
          <w:left w:w="64" w:type="dxa"/>
          <w:bottom w:w="32" w:type="dxa"/>
          <w:right w:w="64" w:type="dxa"/>
        </w:tblCellMar>
      </w:tblPr>
      <w:tblGrid>
        <w:gridCol w:w="2404"/>
        <w:gridCol w:w="2289"/>
        <w:gridCol w:w="685"/>
        <w:gridCol w:w="2475"/>
        <w:gridCol w:w="682"/>
      </w:tblGrid>
      <w:tr w14:paraId="7FD48CB1">
        <w:tblPrEx>
          <w:tblCellMar>
            <w:top w:w="32" w:type="dxa"/>
            <w:left w:w="64" w:type="dxa"/>
            <w:bottom w:w="32" w:type="dxa"/>
            <w:right w:w="64" w:type="dxa"/>
          </w:tblCellMar>
        </w:tblPrEx>
        <w:trPr>
          <w:trHeight w:val="0" w:hRule="atLeast"/>
          <w:jc w:val="center"/>
        </w:trPr>
        <w:tc>
          <w:tcPr>
            <w:tcW w:w="2404" w:type="dxa"/>
            <w:tcBorders>
              <w:top w:val="single" w:color="000000" w:sz="8" w:space="0"/>
              <w:left w:val="nil"/>
              <w:right w:val="nil"/>
            </w:tcBorders>
            <w:vAlign w:val="center"/>
          </w:tcPr>
          <w:p w14:paraId="3CA76733">
            <w:pPr>
              <w:snapToGrid w:val="0"/>
              <w:rPr>
                <w:rFonts w:ascii="Times New Roman" w:hAnsi="Times New Roman" w:eastAsia="宋体"/>
              </w:rPr>
            </w:pPr>
          </w:p>
          <w:p w14:paraId="0566852B">
            <w:pPr>
              <w:snapToGrid w:val="0"/>
              <w:rPr>
                <w:rFonts w:ascii="Times New Roman" w:hAnsi="Times New Roman" w:eastAsia="宋体"/>
              </w:rPr>
            </w:pPr>
            <w:r>
              <w:rPr>
                <w:rFonts w:ascii="Times New Roman" w:hAnsi="Times New Roman" w:eastAsia="宋体"/>
              </w:rPr>
              <w:t>Variables</w:t>
            </w:r>
          </w:p>
        </w:tc>
        <w:tc>
          <w:tcPr>
            <w:tcW w:w="2289" w:type="dxa"/>
            <w:tcBorders>
              <w:top w:val="single" w:color="000000" w:sz="8" w:space="0"/>
              <w:left w:val="nil"/>
              <w:bottom w:val="single" w:color="000000" w:sz="8" w:space="0"/>
              <w:right w:val="nil"/>
            </w:tcBorders>
            <w:shd w:val="clear" w:color="auto" w:fill="FFFFFF"/>
            <w:vAlign w:val="center"/>
          </w:tcPr>
          <w:p w14:paraId="43B76577">
            <w:pPr>
              <w:snapToGrid w:val="0"/>
              <w:jc w:val="left"/>
              <w:rPr>
                <w:rFonts w:ascii="Times New Roman" w:hAnsi="Times New Roman" w:eastAsia="宋体"/>
              </w:rPr>
            </w:pPr>
            <w:r>
              <w:rPr>
                <w:rFonts w:hint="eastAsia" w:ascii="Times New Roman" w:hAnsi="Times New Roman" w:eastAsia="宋体"/>
              </w:rPr>
              <w:t>Single</w:t>
            </w:r>
            <w:r>
              <w:rPr>
                <w:rFonts w:hint="eastAsia" w:ascii="Times New Roman" w:hAnsi="Times New Roman" w:eastAsia="宋体"/>
                <w:lang w:val="en-US" w:eastAsia="zh-CN"/>
              </w:rPr>
              <w:t xml:space="preserve"> </w:t>
            </w:r>
            <w:r>
              <w:rPr>
                <w:rFonts w:hint="eastAsia" w:ascii="Times New Roman" w:hAnsi="Times New Roman" w:eastAsia="宋体"/>
              </w:rPr>
              <w:t>factor</w:t>
            </w:r>
            <w:r>
              <w:rPr>
                <w:rFonts w:hint="eastAsia" w:ascii="Times New Roman" w:hAnsi="Times New Roman" w:eastAsia="宋体"/>
                <w:lang w:val="en-US" w:eastAsia="zh-CN"/>
              </w:rPr>
              <w:t xml:space="preserve"> </w:t>
            </w:r>
            <w:r>
              <w:rPr>
                <w:rFonts w:hint="eastAsia" w:ascii="Times New Roman" w:hAnsi="Times New Roman" w:eastAsia="宋体"/>
              </w:rPr>
              <w:t>analysis</w:t>
            </w:r>
          </w:p>
        </w:tc>
        <w:tc>
          <w:tcPr>
            <w:tcW w:w="685" w:type="dxa"/>
            <w:tcBorders>
              <w:top w:val="single" w:color="000000" w:sz="8" w:space="0"/>
              <w:left w:val="nil"/>
              <w:bottom w:val="single" w:color="000000" w:sz="8" w:space="0"/>
              <w:right w:val="nil"/>
            </w:tcBorders>
            <w:shd w:val="clear" w:color="auto" w:fill="FFFFFF"/>
            <w:vAlign w:val="center"/>
          </w:tcPr>
          <w:p w14:paraId="46AC73D0">
            <w:pPr>
              <w:snapToGrid w:val="0"/>
              <w:rPr>
                <w:rFonts w:hint="eastAsia" w:ascii="Times New Roman" w:hAnsi="Times New Roman" w:eastAsia="宋体"/>
              </w:rPr>
            </w:pPr>
          </w:p>
        </w:tc>
        <w:tc>
          <w:tcPr>
            <w:tcW w:w="2475" w:type="dxa"/>
            <w:tcBorders>
              <w:top w:val="single" w:color="000000" w:sz="8" w:space="0"/>
              <w:left w:val="nil"/>
              <w:bottom w:val="single" w:color="000000" w:sz="8" w:space="0"/>
              <w:right w:val="nil"/>
            </w:tcBorders>
            <w:shd w:val="clear" w:color="auto" w:fill="FFFFFF"/>
            <w:vAlign w:val="center"/>
          </w:tcPr>
          <w:p w14:paraId="7BDCF2C0">
            <w:pPr>
              <w:snapToGrid w:val="0"/>
              <w:ind w:left="480" w:hanging="480" w:hangingChars="200"/>
              <w:rPr>
                <w:rFonts w:ascii="Times New Roman" w:hAnsi="Times New Roman" w:eastAsia="宋体"/>
              </w:rPr>
            </w:pPr>
            <w:r>
              <w:rPr>
                <w:rFonts w:hint="eastAsia" w:ascii="Times New Roman" w:hAnsi="Times New Roman" w:eastAsia="宋体"/>
              </w:rPr>
              <w:t>multiple-factor analysis</w:t>
            </w:r>
          </w:p>
        </w:tc>
        <w:tc>
          <w:tcPr>
            <w:tcW w:w="682" w:type="dxa"/>
            <w:tcBorders>
              <w:top w:val="single" w:color="000000" w:sz="8" w:space="0"/>
              <w:left w:val="nil"/>
              <w:bottom w:val="single" w:color="000000" w:sz="8" w:space="0"/>
              <w:right w:val="nil"/>
            </w:tcBorders>
            <w:shd w:val="clear" w:color="auto" w:fill="FFFFFF"/>
            <w:vAlign w:val="center"/>
          </w:tcPr>
          <w:p w14:paraId="2E417D7A">
            <w:pPr>
              <w:snapToGrid w:val="0"/>
              <w:rPr>
                <w:rFonts w:ascii="Times New Roman" w:hAnsi="Times New Roman" w:eastAsia="宋体"/>
              </w:rPr>
            </w:pPr>
          </w:p>
        </w:tc>
      </w:tr>
      <w:tr w14:paraId="269BDF4A">
        <w:tblPrEx>
          <w:tblCellMar>
            <w:top w:w="32" w:type="dxa"/>
            <w:left w:w="64" w:type="dxa"/>
            <w:bottom w:w="32" w:type="dxa"/>
            <w:right w:w="64" w:type="dxa"/>
          </w:tblCellMar>
        </w:tblPrEx>
        <w:trPr>
          <w:trHeight w:val="0" w:hRule="atLeast"/>
          <w:jc w:val="center"/>
        </w:trPr>
        <w:tc>
          <w:tcPr>
            <w:tcW w:w="2404" w:type="dxa"/>
            <w:tcBorders>
              <w:left w:val="nil"/>
              <w:bottom w:val="single" w:color="000000" w:sz="8" w:space="0"/>
              <w:right w:val="nil"/>
            </w:tcBorders>
            <w:vAlign w:val="center"/>
          </w:tcPr>
          <w:p w14:paraId="00E6739E">
            <w:pPr>
              <w:snapToGrid w:val="0"/>
              <w:rPr>
                <w:rFonts w:ascii="Times New Roman" w:hAnsi="Times New Roman" w:eastAsia="宋体"/>
              </w:rPr>
            </w:pPr>
          </w:p>
        </w:tc>
        <w:tc>
          <w:tcPr>
            <w:tcW w:w="2289" w:type="dxa"/>
            <w:tcBorders>
              <w:top w:val="single" w:color="000000" w:sz="8" w:space="0"/>
              <w:left w:val="nil"/>
              <w:bottom w:val="single" w:color="000000" w:sz="8" w:space="0"/>
              <w:right w:val="nil"/>
            </w:tcBorders>
            <w:shd w:val="clear" w:color="auto" w:fill="FFFFFF"/>
            <w:vAlign w:val="center"/>
          </w:tcPr>
          <w:p w14:paraId="6561E255">
            <w:pPr>
              <w:snapToGrid w:val="0"/>
              <w:rPr>
                <w:rFonts w:ascii="Times New Roman" w:hAnsi="Times New Roman" w:eastAsia="宋体"/>
              </w:rPr>
            </w:pPr>
            <w:r>
              <w:rPr>
                <w:rFonts w:ascii="Times New Roman" w:hAnsi="Times New Roman" w:eastAsia="宋体"/>
              </w:rPr>
              <w:t xml:space="preserve">OR </w:t>
            </w:r>
            <w:r>
              <w:rPr>
                <w:rFonts w:hint="eastAsia" w:ascii="Times New Roman" w:hAnsi="Times New Roman" w:eastAsia="宋体"/>
                <w:lang w:val="en-US" w:eastAsia="zh-CN"/>
              </w:rPr>
              <w:t xml:space="preserve"> </w:t>
            </w:r>
            <w:r>
              <w:rPr>
                <w:rFonts w:ascii="Times New Roman" w:hAnsi="Times New Roman" w:eastAsia="宋体"/>
              </w:rPr>
              <w:t>(95%CI)</w:t>
            </w:r>
          </w:p>
        </w:tc>
        <w:tc>
          <w:tcPr>
            <w:tcW w:w="685" w:type="dxa"/>
            <w:tcBorders>
              <w:top w:val="single" w:color="000000" w:sz="8" w:space="0"/>
              <w:left w:val="nil"/>
              <w:bottom w:val="single" w:color="000000" w:sz="8" w:space="0"/>
              <w:right w:val="nil"/>
            </w:tcBorders>
            <w:shd w:val="clear" w:color="auto" w:fill="FFFFFF"/>
            <w:vAlign w:val="center"/>
          </w:tcPr>
          <w:p w14:paraId="674AF852">
            <w:pPr>
              <w:snapToGrid w:val="0"/>
              <w:rPr>
                <w:rFonts w:ascii="Times New Roman" w:hAnsi="Times New Roman" w:eastAsia="宋体" w:cstheme="minorBidi"/>
                <w:i/>
                <w:kern w:val="2"/>
                <w:sz w:val="24"/>
                <w:szCs w:val="24"/>
                <w:lang w:val="en-US" w:eastAsia="zh-CN" w:bidi="ar-SA"/>
              </w:rPr>
            </w:pPr>
            <w:r>
              <w:rPr>
                <w:rFonts w:ascii="Times New Roman" w:hAnsi="Times New Roman" w:eastAsia="宋体"/>
                <w:i/>
              </w:rPr>
              <w:t>P</w:t>
            </w:r>
          </w:p>
        </w:tc>
        <w:tc>
          <w:tcPr>
            <w:tcW w:w="2475" w:type="dxa"/>
            <w:tcBorders>
              <w:top w:val="single" w:color="000000" w:sz="8" w:space="0"/>
              <w:left w:val="nil"/>
              <w:bottom w:val="single" w:color="000000" w:sz="8" w:space="0"/>
              <w:right w:val="nil"/>
            </w:tcBorders>
            <w:shd w:val="clear" w:color="auto" w:fill="FFFFFF"/>
            <w:vAlign w:val="center"/>
          </w:tcPr>
          <w:p w14:paraId="1F4D9E9E">
            <w:pPr>
              <w:snapToGrid w:val="0"/>
              <w:rPr>
                <w:rFonts w:ascii="Times New Roman" w:hAnsi="Times New Roman" w:eastAsia="宋体"/>
              </w:rPr>
            </w:pPr>
            <w:r>
              <w:rPr>
                <w:rFonts w:ascii="Times New Roman" w:hAnsi="Times New Roman" w:eastAsia="宋体"/>
              </w:rPr>
              <w:t>OR</w:t>
            </w:r>
            <w:r>
              <w:rPr>
                <w:rFonts w:hint="eastAsia" w:ascii="Times New Roman" w:hAnsi="Times New Roman" w:eastAsia="宋体"/>
                <w:lang w:val="en-US" w:eastAsia="zh-CN"/>
              </w:rPr>
              <w:t xml:space="preserve"> </w:t>
            </w:r>
            <w:r>
              <w:rPr>
                <w:rFonts w:ascii="Times New Roman" w:hAnsi="Times New Roman" w:eastAsia="宋体"/>
              </w:rPr>
              <w:t xml:space="preserve"> (95%CI)</w:t>
            </w:r>
          </w:p>
        </w:tc>
        <w:tc>
          <w:tcPr>
            <w:tcW w:w="682" w:type="dxa"/>
            <w:tcBorders>
              <w:top w:val="single" w:color="000000" w:sz="8" w:space="0"/>
              <w:left w:val="nil"/>
              <w:bottom w:val="single" w:color="000000" w:sz="8" w:space="0"/>
              <w:right w:val="nil"/>
            </w:tcBorders>
            <w:shd w:val="clear" w:color="auto" w:fill="FFFFFF"/>
            <w:vAlign w:val="center"/>
          </w:tcPr>
          <w:p w14:paraId="0A37609D">
            <w:pPr>
              <w:snapToGrid w:val="0"/>
              <w:rPr>
                <w:rFonts w:ascii="Times New Roman" w:hAnsi="Times New Roman" w:eastAsia="宋体"/>
              </w:rPr>
            </w:pPr>
            <w:r>
              <w:rPr>
                <w:rFonts w:ascii="Times New Roman" w:hAnsi="Times New Roman" w:eastAsia="宋体"/>
                <w:i/>
              </w:rPr>
              <w:t>P</w:t>
            </w:r>
          </w:p>
        </w:tc>
      </w:tr>
      <w:tr w14:paraId="57376E90">
        <w:tblPrEx>
          <w:tblCellMar>
            <w:top w:w="32" w:type="dxa"/>
            <w:left w:w="64" w:type="dxa"/>
            <w:bottom w:w="32" w:type="dxa"/>
            <w:right w:w="64" w:type="dxa"/>
          </w:tblCellMar>
        </w:tblPrEx>
        <w:trPr>
          <w:trHeight w:val="0" w:hRule="atLeast"/>
          <w:jc w:val="center"/>
        </w:trPr>
        <w:tc>
          <w:tcPr>
            <w:tcW w:w="2404" w:type="dxa"/>
            <w:tcBorders>
              <w:top w:val="single" w:color="000000" w:sz="8" w:space="0"/>
              <w:left w:val="nil"/>
              <w:bottom w:val="nil"/>
              <w:right w:val="nil"/>
            </w:tcBorders>
            <w:shd w:val="clear" w:color="auto" w:fill="FFFFFF"/>
            <w:vAlign w:val="center"/>
          </w:tcPr>
          <w:p w14:paraId="1BAFB0F3">
            <w:pPr>
              <w:snapToGrid w:val="0"/>
              <w:rPr>
                <w:rFonts w:ascii="Times New Roman" w:hAnsi="Times New Roman" w:eastAsia="宋体"/>
              </w:rPr>
            </w:pPr>
            <w:r>
              <w:rPr>
                <w:rFonts w:hint="eastAsia" w:ascii="Times New Roman" w:hAnsi="Times New Roman" w:eastAsia="宋体"/>
              </w:rPr>
              <w:t>Sex</w:t>
            </w:r>
          </w:p>
        </w:tc>
        <w:tc>
          <w:tcPr>
            <w:tcW w:w="2289" w:type="dxa"/>
            <w:tcBorders>
              <w:top w:val="single" w:color="000000" w:sz="8" w:space="0"/>
              <w:left w:val="nil"/>
              <w:bottom w:val="nil"/>
              <w:right w:val="nil"/>
            </w:tcBorders>
            <w:shd w:val="clear" w:color="auto" w:fill="FFFFFF"/>
            <w:vAlign w:val="center"/>
          </w:tcPr>
          <w:p w14:paraId="38CE5A08">
            <w:pPr>
              <w:snapToGrid w:val="0"/>
              <w:rPr>
                <w:rFonts w:ascii="Times New Roman" w:hAnsi="Times New Roman" w:eastAsia="宋体"/>
              </w:rPr>
            </w:pPr>
          </w:p>
        </w:tc>
        <w:tc>
          <w:tcPr>
            <w:tcW w:w="685" w:type="dxa"/>
            <w:tcBorders>
              <w:top w:val="single" w:color="000000" w:sz="8" w:space="0"/>
              <w:left w:val="nil"/>
              <w:bottom w:val="nil"/>
              <w:right w:val="nil"/>
            </w:tcBorders>
            <w:shd w:val="clear" w:color="auto" w:fill="FFFFFF"/>
            <w:vAlign w:val="center"/>
          </w:tcPr>
          <w:p w14:paraId="06698BFB">
            <w:pPr>
              <w:snapToGrid w:val="0"/>
              <w:rPr>
                <w:rFonts w:ascii="Times New Roman" w:hAnsi="Times New Roman" w:eastAsia="宋体" w:cstheme="minorBidi"/>
                <w:kern w:val="2"/>
                <w:sz w:val="24"/>
                <w:szCs w:val="24"/>
                <w:lang w:val="en-US" w:eastAsia="zh-CN" w:bidi="ar-SA"/>
              </w:rPr>
            </w:pPr>
          </w:p>
        </w:tc>
        <w:tc>
          <w:tcPr>
            <w:tcW w:w="2475" w:type="dxa"/>
            <w:tcBorders>
              <w:top w:val="single" w:color="000000" w:sz="8" w:space="0"/>
              <w:left w:val="nil"/>
              <w:bottom w:val="nil"/>
              <w:right w:val="nil"/>
            </w:tcBorders>
            <w:shd w:val="clear" w:color="auto" w:fill="FFFFFF"/>
            <w:vAlign w:val="center"/>
          </w:tcPr>
          <w:p w14:paraId="3EE51A38">
            <w:pPr>
              <w:snapToGrid w:val="0"/>
              <w:rPr>
                <w:rFonts w:ascii="Times New Roman" w:hAnsi="Times New Roman" w:eastAsia="宋体"/>
              </w:rPr>
            </w:pPr>
          </w:p>
        </w:tc>
        <w:tc>
          <w:tcPr>
            <w:tcW w:w="682" w:type="dxa"/>
            <w:tcBorders>
              <w:top w:val="single" w:color="000000" w:sz="8" w:space="0"/>
              <w:left w:val="nil"/>
              <w:bottom w:val="nil"/>
              <w:right w:val="nil"/>
            </w:tcBorders>
            <w:shd w:val="clear" w:color="auto" w:fill="FFFFFF"/>
            <w:vAlign w:val="center"/>
          </w:tcPr>
          <w:p w14:paraId="129BED94">
            <w:pPr>
              <w:snapToGrid w:val="0"/>
              <w:rPr>
                <w:rFonts w:ascii="Times New Roman" w:hAnsi="Times New Roman" w:eastAsia="宋体"/>
              </w:rPr>
            </w:pPr>
          </w:p>
        </w:tc>
      </w:tr>
      <w:tr w14:paraId="25461632">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02482AF5">
            <w:pPr>
              <w:snapToGrid w:val="0"/>
              <w:rPr>
                <w:rFonts w:ascii="Times New Roman" w:hAnsi="Times New Roman" w:eastAsia="宋体"/>
              </w:rPr>
            </w:pPr>
            <w:r>
              <w:rPr>
                <w:rFonts w:ascii="Times New Roman" w:hAnsi="Times New Roman" w:eastAsia="宋体"/>
              </w:rPr>
              <w:t xml:space="preserve">  1</w:t>
            </w:r>
          </w:p>
        </w:tc>
        <w:tc>
          <w:tcPr>
            <w:tcW w:w="2289" w:type="dxa"/>
            <w:tcBorders>
              <w:top w:val="nil"/>
              <w:left w:val="nil"/>
              <w:bottom w:val="nil"/>
              <w:right w:val="nil"/>
            </w:tcBorders>
            <w:shd w:val="clear" w:color="auto" w:fill="FFFFFF"/>
            <w:vAlign w:val="center"/>
          </w:tcPr>
          <w:p w14:paraId="0BF82FC6">
            <w:pPr>
              <w:snapToGrid w:val="0"/>
              <w:rPr>
                <w:rFonts w:ascii="Times New Roman" w:hAnsi="Times New Roman" w:eastAsia="宋体"/>
              </w:rPr>
            </w:pPr>
            <w:r>
              <w:rPr>
                <w:rFonts w:ascii="Times New Roman" w:hAnsi="Times New Roman" w:eastAsia="宋体"/>
              </w:rPr>
              <w:t>1.00</w:t>
            </w:r>
            <w:r>
              <w:rPr>
                <w:rFonts w:hint="eastAsia" w:ascii="Times New Roman" w:hAnsi="Times New Roman" w:eastAsia="宋体"/>
                <w:lang w:val="en-US" w:eastAsia="zh-CN"/>
              </w:rPr>
              <w:t xml:space="preserve"> </w:t>
            </w:r>
            <w:r>
              <w:rPr>
                <w:rFonts w:ascii="Times New Roman" w:hAnsi="Times New Roman" w:eastAsia="宋体"/>
              </w:rPr>
              <w:t xml:space="preserve"> (Reference)</w:t>
            </w:r>
          </w:p>
        </w:tc>
        <w:tc>
          <w:tcPr>
            <w:tcW w:w="685" w:type="dxa"/>
            <w:tcBorders>
              <w:top w:val="nil"/>
              <w:left w:val="nil"/>
              <w:bottom w:val="nil"/>
              <w:right w:val="nil"/>
            </w:tcBorders>
            <w:shd w:val="clear" w:color="auto" w:fill="FFFFFF"/>
            <w:vAlign w:val="center"/>
          </w:tcPr>
          <w:p w14:paraId="26EA4978">
            <w:pPr>
              <w:snapToGrid w:val="0"/>
              <w:rPr>
                <w:rFonts w:ascii="Times New Roman" w:hAnsi="Times New Roman" w:eastAsia="宋体" w:cstheme="minorBidi"/>
                <w:kern w:val="2"/>
                <w:sz w:val="24"/>
                <w:szCs w:val="24"/>
                <w:lang w:val="en-US" w:eastAsia="zh-CN" w:bidi="ar-SA"/>
              </w:rPr>
            </w:pPr>
          </w:p>
        </w:tc>
        <w:tc>
          <w:tcPr>
            <w:tcW w:w="2475" w:type="dxa"/>
            <w:tcBorders>
              <w:top w:val="nil"/>
              <w:left w:val="nil"/>
              <w:bottom w:val="nil"/>
              <w:right w:val="nil"/>
            </w:tcBorders>
            <w:shd w:val="clear" w:color="auto" w:fill="FFFFFF"/>
            <w:vAlign w:val="center"/>
          </w:tcPr>
          <w:p w14:paraId="5C2A339A">
            <w:pPr>
              <w:snapToGrid w:val="0"/>
              <w:rPr>
                <w:rFonts w:ascii="Times New Roman" w:hAnsi="Times New Roman" w:eastAsia="宋体"/>
              </w:rPr>
            </w:pPr>
          </w:p>
        </w:tc>
        <w:tc>
          <w:tcPr>
            <w:tcW w:w="682" w:type="dxa"/>
            <w:tcBorders>
              <w:top w:val="nil"/>
              <w:left w:val="nil"/>
              <w:bottom w:val="nil"/>
              <w:right w:val="nil"/>
            </w:tcBorders>
            <w:shd w:val="clear" w:color="auto" w:fill="FFFFFF"/>
            <w:vAlign w:val="center"/>
          </w:tcPr>
          <w:p w14:paraId="4BBA7D70">
            <w:pPr>
              <w:snapToGrid w:val="0"/>
              <w:rPr>
                <w:rFonts w:ascii="Times New Roman" w:hAnsi="Times New Roman" w:eastAsia="宋体"/>
              </w:rPr>
            </w:pPr>
          </w:p>
        </w:tc>
      </w:tr>
      <w:tr w14:paraId="51A48BD2">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3DDB0D82">
            <w:pPr>
              <w:snapToGrid w:val="0"/>
              <w:rPr>
                <w:rFonts w:ascii="Times New Roman" w:hAnsi="Times New Roman" w:eastAsia="宋体"/>
              </w:rPr>
            </w:pPr>
            <w:r>
              <w:rPr>
                <w:rFonts w:ascii="Times New Roman" w:hAnsi="Times New Roman" w:eastAsia="宋体"/>
              </w:rPr>
              <w:t xml:space="preserve">  2</w:t>
            </w:r>
          </w:p>
        </w:tc>
        <w:tc>
          <w:tcPr>
            <w:tcW w:w="2289" w:type="dxa"/>
            <w:tcBorders>
              <w:top w:val="nil"/>
              <w:left w:val="nil"/>
              <w:bottom w:val="nil"/>
              <w:right w:val="nil"/>
            </w:tcBorders>
            <w:shd w:val="clear" w:color="auto" w:fill="FFFFFF"/>
            <w:vAlign w:val="center"/>
          </w:tcPr>
          <w:p w14:paraId="5501534F">
            <w:pPr>
              <w:snapToGrid w:val="0"/>
              <w:rPr>
                <w:rFonts w:ascii="Times New Roman" w:hAnsi="Times New Roman" w:eastAsia="宋体"/>
              </w:rPr>
            </w:pPr>
            <w:r>
              <w:rPr>
                <w:rFonts w:ascii="Times New Roman" w:hAnsi="Times New Roman" w:eastAsia="宋体"/>
              </w:rPr>
              <w:t xml:space="preserve">0.93 </w:t>
            </w:r>
            <w:r>
              <w:rPr>
                <w:rFonts w:hint="eastAsia" w:ascii="Times New Roman" w:hAnsi="Times New Roman" w:eastAsia="宋体"/>
                <w:lang w:val="en-US" w:eastAsia="zh-CN"/>
              </w:rPr>
              <w:t xml:space="preserve"> </w:t>
            </w:r>
            <w:r>
              <w:rPr>
                <w:rFonts w:ascii="Times New Roman" w:hAnsi="Times New Roman" w:eastAsia="宋体"/>
              </w:rPr>
              <w:t>(0.37 ~ 2.35)</w:t>
            </w:r>
          </w:p>
        </w:tc>
        <w:tc>
          <w:tcPr>
            <w:tcW w:w="685" w:type="dxa"/>
            <w:tcBorders>
              <w:top w:val="nil"/>
              <w:left w:val="nil"/>
              <w:bottom w:val="nil"/>
              <w:right w:val="nil"/>
            </w:tcBorders>
            <w:shd w:val="clear" w:color="auto" w:fill="FFFFFF"/>
            <w:vAlign w:val="center"/>
          </w:tcPr>
          <w:p w14:paraId="5B1541DC">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0.883</w:t>
            </w:r>
          </w:p>
        </w:tc>
        <w:tc>
          <w:tcPr>
            <w:tcW w:w="2475" w:type="dxa"/>
            <w:tcBorders>
              <w:top w:val="nil"/>
              <w:left w:val="nil"/>
              <w:bottom w:val="nil"/>
              <w:right w:val="nil"/>
            </w:tcBorders>
            <w:shd w:val="clear" w:color="auto" w:fill="FFFFFF"/>
            <w:vAlign w:val="center"/>
          </w:tcPr>
          <w:p w14:paraId="6F1EFC6F">
            <w:pPr>
              <w:snapToGrid w:val="0"/>
              <w:rPr>
                <w:rFonts w:ascii="Times New Roman" w:hAnsi="Times New Roman" w:eastAsia="宋体"/>
              </w:rPr>
            </w:pPr>
          </w:p>
        </w:tc>
        <w:tc>
          <w:tcPr>
            <w:tcW w:w="682" w:type="dxa"/>
            <w:tcBorders>
              <w:top w:val="nil"/>
              <w:left w:val="nil"/>
              <w:bottom w:val="nil"/>
              <w:right w:val="nil"/>
            </w:tcBorders>
            <w:shd w:val="clear" w:color="auto" w:fill="FFFFFF"/>
            <w:vAlign w:val="center"/>
          </w:tcPr>
          <w:p w14:paraId="58C98313">
            <w:pPr>
              <w:snapToGrid w:val="0"/>
              <w:rPr>
                <w:rFonts w:ascii="Times New Roman" w:hAnsi="Times New Roman" w:eastAsia="宋体"/>
              </w:rPr>
            </w:pPr>
          </w:p>
        </w:tc>
      </w:tr>
      <w:tr w14:paraId="49C6009F">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31455E28">
            <w:pPr>
              <w:snapToGrid w:val="0"/>
              <w:rPr>
                <w:rFonts w:ascii="Times New Roman" w:hAnsi="Times New Roman" w:eastAsia="宋体"/>
              </w:rPr>
            </w:pPr>
            <w:r>
              <w:rPr>
                <w:rFonts w:ascii="Times New Roman" w:hAnsi="Times New Roman" w:eastAsia="宋体"/>
              </w:rPr>
              <w:t>Stool consistency</w:t>
            </w:r>
          </w:p>
          <w:p w14:paraId="7BD17307">
            <w:pPr>
              <w:snapToGrid w:val="0"/>
              <w:rPr>
                <w:rFonts w:ascii="Times New Roman" w:hAnsi="Times New Roman" w:eastAsia="宋体"/>
              </w:rPr>
            </w:pPr>
            <w:r>
              <w:rPr>
                <w:rFonts w:ascii="Times New Roman" w:hAnsi="Times New Roman" w:eastAsia="宋体"/>
              </w:rPr>
              <w:t>(BSFS)</w:t>
            </w:r>
          </w:p>
        </w:tc>
        <w:tc>
          <w:tcPr>
            <w:tcW w:w="2289" w:type="dxa"/>
            <w:tcBorders>
              <w:top w:val="nil"/>
              <w:left w:val="nil"/>
              <w:bottom w:val="nil"/>
              <w:right w:val="nil"/>
            </w:tcBorders>
            <w:shd w:val="clear" w:color="auto" w:fill="FFFFFF"/>
            <w:vAlign w:val="center"/>
          </w:tcPr>
          <w:p w14:paraId="6FA4CEF6">
            <w:pPr>
              <w:snapToGrid w:val="0"/>
              <w:rPr>
                <w:rFonts w:ascii="Times New Roman" w:hAnsi="Times New Roman" w:eastAsia="宋体"/>
              </w:rPr>
            </w:pPr>
            <w:r>
              <w:rPr>
                <w:rFonts w:ascii="Times New Roman" w:hAnsi="Times New Roman" w:eastAsia="宋体"/>
              </w:rPr>
              <w:t>5.68</w:t>
            </w:r>
            <w:r>
              <w:rPr>
                <w:rFonts w:hint="eastAsia" w:ascii="Times New Roman" w:hAnsi="Times New Roman" w:eastAsia="宋体"/>
                <w:lang w:val="en-US" w:eastAsia="zh-CN"/>
              </w:rPr>
              <w:t xml:space="preserve"> </w:t>
            </w:r>
            <w:r>
              <w:rPr>
                <w:rFonts w:ascii="Times New Roman" w:hAnsi="Times New Roman" w:eastAsia="宋体"/>
              </w:rPr>
              <w:t xml:space="preserve"> (2.43 ~ 13.28)</w:t>
            </w:r>
          </w:p>
        </w:tc>
        <w:tc>
          <w:tcPr>
            <w:tcW w:w="685" w:type="dxa"/>
            <w:tcBorders>
              <w:top w:val="nil"/>
              <w:left w:val="nil"/>
              <w:bottom w:val="nil"/>
              <w:right w:val="nil"/>
            </w:tcBorders>
            <w:shd w:val="clear" w:color="auto" w:fill="FFFFFF"/>
            <w:vAlign w:val="center"/>
          </w:tcPr>
          <w:p w14:paraId="5D15DBF4">
            <w:pPr>
              <w:snapToGrid w:val="0"/>
              <w:rPr>
                <w:rFonts w:ascii="Times New Roman" w:hAnsi="Times New Roman" w:eastAsia="宋体" w:cstheme="minorBidi"/>
                <w:b/>
                <w:kern w:val="2"/>
                <w:sz w:val="24"/>
                <w:szCs w:val="24"/>
                <w:lang w:val="en-US" w:eastAsia="zh-CN" w:bidi="ar-SA"/>
              </w:rPr>
            </w:pPr>
            <w:r>
              <w:rPr>
                <w:rFonts w:ascii="Times New Roman" w:hAnsi="Times New Roman" w:eastAsia="宋体"/>
                <w:b/>
              </w:rPr>
              <w:t>&lt;.001</w:t>
            </w:r>
          </w:p>
        </w:tc>
        <w:tc>
          <w:tcPr>
            <w:tcW w:w="2475" w:type="dxa"/>
            <w:tcBorders>
              <w:top w:val="nil"/>
              <w:left w:val="nil"/>
              <w:bottom w:val="nil"/>
              <w:right w:val="nil"/>
            </w:tcBorders>
            <w:shd w:val="clear" w:color="auto" w:fill="FFFFFF"/>
            <w:vAlign w:val="center"/>
          </w:tcPr>
          <w:p w14:paraId="113302A6">
            <w:pPr>
              <w:snapToGrid w:val="0"/>
              <w:rPr>
                <w:rFonts w:ascii="Times New Roman" w:hAnsi="Times New Roman" w:eastAsia="宋体"/>
              </w:rPr>
            </w:pPr>
            <w:r>
              <w:rPr>
                <w:rFonts w:ascii="Times New Roman" w:hAnsi="Times New Roman" w:eastAsia="宋体"/>
              </w:rPr>
              <w:t xml:space="preserve">4.73 </w:t>
            </w:r>
            <w:r>
              <w:rPr>
                <w:rFonts w:hint="eastAsia" w:ascii="Times New Roman" w:hAnsi="Times New Roman" w:eastAsia="宋体"/>
                <w:lang w:val="en-US" w:eastAsia="zh-CN"/>
              </w:rPr>
              <w:t xml:space="preserve"> </w:t>
            </w:r>
            <w:r>
              <w:rPr>
                <w:rFonts w:ascii="Times New Roman" w:hAnsi="Times New Roman" w:eastAsia="宋体"/>
              </w:rPr>
              <w:t>(1.15 ~ 19.56)</w:t>
            </w:r>
          </w:p>
        </w:tc>
        <w:tc>
          <w:tcPr>
            <w:tcW w:w="682" w:type="dxa"/>
            <w:tcBorders>
              <w:top w:val="nil"/>
              <w:left w:val="nil"/>
              <w:bottom w:val="nil"/>
              <w:right w:val="nil"/>
            </w:tcBorders>
            <w:shd w:val="clear" w:color="auto" w:fill="FFFFFF"/>
            <w:vAlign w:val="center"/>
          </w:tcPr>
          <w:p w14:paraId="00B17187">
            <w:pPr>
              <w:snapToGrid w:val="0"/>
              <w:rPr>
                <w:rFonts w:ascii="Times New Roman" w:hAnsi="Times New Roman" w:eastAsia="宋体" w:cstheme="minorBidi"/>
                <w:kern w:val="2"/>
                <w:sz w:val="24"/>
                <w:szCs w:val="24"/>
                <w:lang w:val="en-US" w:eastAsia="zh-CN" w:bidi="ar-SA"/>
              </w:rPr>
            </w:pPr>
            <w:r>
              <w:rPr>
                <w:rFonts w:ascii="Times New Roman" w:hAnsi="Times New Roman" w:eastAsia="宋体"/>
                <w:b/>
              </w:rPr>
              <w:t>0.032</w:t>
            </w:r>
          </w:p>
        </w:tc>
      </w:tr>
      <w:tr w14:paraId="6DFE18AC">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2C7E3684">
            <w:pPr>
              <w:snapToGrid w:val="0"/>
              <w:rPr>
                <w:rFonts w:ascii="Times New Roman" w:hAnsi="Times New Roman" w:eastAsia="宋体"/>
              </w:rPr>
            </w:pPr>
            <w:r>
              <w:rPr>
                <w:rFonts w:ascii="Times New Roman" w:hAnsi="Times New Roman" w:eastAsia="宋体"/>
              </w:rPr>
              <w:t>Age(years)</w:t>
            </w:r>
          </w:p>
        </w:tc>
        <w:tc>
          <w:tcPr>
            <w:tcW w:w="2289" w:type="dxa"/>
            <w:tcBorders>
              <w:top w:val="nil"/>
              <w:left w:val="nil"/>
              <w:bottom w:val="nil"/>
              <w:right w:val="nil"/>
            </w:tcBorders>
            <w:shd w:val="clear" w:color="auto" w:fill="FFFFFF"/>
            <w:vAlign w:val="center"/>
          </w:tcPr>
          <w:p w14:paraId="6ED5B531">
            <w:pPr>
              <w:snapToGrid w:val="0"/>
              <w:rPr>
                <w:rFonts w:ascii="Times New Roman" w:hAnsi="Times New Roman" w:eastAsia="宋体"/>
              </w:rPr>
            </w:pPr>
            <w:r>
              <w:rPr>
                <w:rFonts w:ascii="Times New Roman" w:hAnsi="Times New Roman" w:eastAsia="宋体"/>
              </w:rPr>
              <w:t xml:space="preserve">0.97 </w:t>
            </w:r>
            <w:r>
              <w:rPr>
                <w:rFonts w:hint="eastAsia" w:ascii="Times New Roman" w:hAnsi="Times New Roman" w:eastAsia="宋体"/>
                <w:lang w:val="en-US" w:eastAsia="zh-CN"/>
              </w:rPr>
              <w:t xml:space="preserve"> </w:t>
            </w:r>
            <w:r>
              <w:rPr>
                <w:rFonts w:ascii="Times New Roman" w:hAnsi="Times New Roman" w:eastAsia="宋体"/>
              </w:rPr>
              <w:t>(0.93 ~ 1.01)</w:t>
            </w:r>
          </w:p>
        </w:tc>
        <w:tc>
          <w:tcPr>
            <w:tcW w:w="685" w:type="dxa"/>
            <w:tcBorders>
              <w:top w:val="nil"/>
              <w:left w:val="nil"/>
              <w:bottom w:val="nil"/>
              <w:right w:val="nil"/>
            </w:tcBorders>
            <w:shd w:val="clear" w:color="auto" w:fill="FFFFFF"/>
            <w:vAlign w:val="center"/>
          </w:tcPr>
          <w:p w14:paraId="52D93ACE">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0.103</w:t>
            </w:r>
          </w:p>
        </w:tc>
        <w:tc>
          <w:tcPr>
            <w:tcW w:w="2475" w:type="dxa"/>
            <w:tcBorders>
              <w:top w:val="nil"/>
              <w:left w:val="nil"/>
              <w:bottom w:val="nil"/>
              <w:right w:val="nil"/>
            </w:tcBorders>
            <w:shd w:val="clear" w:color="auto" w:fill="FFFFFF"/>
            <w:vAlign w:val="center"/>
          </w:tcPr>
          <w:p w14:paraId="34CFE0E5">
            <w:pPr>
              <w:snapToGrid w:val="0"/>
              <w:rPr>
                <w:rFonts w:ascii="Times New Roman" w:hAnsi="Times New Roman" w:eastAsia="宋体"/>
              </w:rPr>
            </w:pPr>
          </w:p>
        </w:tc>
        <w:tc>
          <w:tcPr>
            <w:tcW w:w="682" w:type="dxa"/>
            <w:tcBorders>
              <w:top w:val="nil"/>
              <w:left w:val="nil"/>
              <w:bottom w:val="nil"/>
              <w:right w:val="nil"/>
            </w:tcBorders>
            <w:shd w:val="clear" w:color="auto" w:fill="FFFFFF"/>
            <w:vAlign w:val="center"/>
          </w:tcPr>
          <w:p w14:paraId="316262C4">
            <w:pPr>
              <w:snapToGrid w:val="0"/>
              <w:rPr>
                <w:rFonts w:ascii="Times New Roman" w:hAnsi="Times New Roman" w:eastAsia="宋体" w:cstheme="minorBidi"/>
                <w:kern w:val="2"/>
                <w:sz w:val="24"/>
                <w:szCs w:val="24"/>
                <w:lang w:val="en-US" w:eastAsia="zh-CN" w:bidi="ar-SA"/>
              </w:rPr>
            </w:pPr>
          </w:p>
        </w:tc>
      </w:tr>
      <w:tr w14:paraId="4688268B">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64F6F5F3">
            <w:pPr>
              <w:snapToGrid w:val="0"/>
              <w:rPr>
                <w:rFonts w:ascii="Times New Roman" w:hAnsi="Times New Roman" w:eastAsia="宋体"/>
              </w:rPr>
            </w:pPr>
            <w:r>
              <w:rPr>
                <w:rFonts w:ascii="Times New Roman" w:hAnsi="Times New Roman" w:eastAsia="宋体"/>
              </w:rPr>
              <w:t>Stool Frequency</w:t>
            </w:r>
          </w:p>
          <w:p w14:paraId="701BCEBA">
            <w:pPr>
              <w:snapToGrid w:val="0"/>
              <w:rPr>
                <w:rFonts w:ascii="Times New Roman" w:hAnsi="Times New Roman" w:eastAsia="宋体"/>
              </w:rPr>
            </w:pPr>
            <w:r>
              <w:rPr>
                <w:rFonts w:ascii="Times New Roman" w:hAnsi="Times New Roman" w:eastAsia="宋体"/>
              </w:rPr>
              <w:t>(Bm/Day)</w:t>
            </w:r>
          </w:p>
        </w:tc>
        <w:tc>
          <w:tcPr>
            <w:tcW w:w="2289" w:type="dxa"/>
            <w:tcBorders>
              <w:top w:val="nil"/>
              <w:left w:val="nil"/>
              <w:bottom w:val="nil"/>
              <w:right w:val="nil"/>
            </w:tcBorders>
            <w:shd w:val="clear" w:color="auto" w:fill="FFFFFF"/>
            <w:vAlign w:val="center"/>
          </w:tcPr>
          <w:p w14:paraId="777EFC1F">
            <w:pPr>
              <w:snapToGrid w:val="0"/>
              <w:rPr>
                <w:rFonts w:ascii="Times New Roman" w:hAnsi="Times New Roman" w:eastAsia="宋体"/>
              </w:rPr>
            </w:pPr>
            <w:r>
              <w:rPr>
                <w:rFonts w:ascii="Times New Roman" w:hAnsi="Times New Roman" w:eastAsia="宋体"/>
              </w:rPr>
              <w:t>0.9</w:t>
            </w:r>
            <w:r>
              <w:rPr>
                <w:rFonts w:hint="eastAsia" w:ascii="Times New Roman" w:hAnsi="Times New Roman" w:eastAsia="宋体"/>
              </w:rPr>
              <w:t>7</w:t>
            </w:r>
            <w:r>
              <w:rPr>
                <w:rFonts w:ascii="Times New Roman" w:hAnsi="Times New Roman" w:eastAsia="宋体"/>
              </w:rPr>
              <w:t xml:space="preserve"> </w:t>
            </w:r>
            <w:r>
              <w:rPr>
                <w:rFonts w:hint="eastAsia" w:ascii="Times New Roman" w:hAnsi="Times New Roman" w:eastAsia="宋体"/>
                <w:lang w:val="en-US" w:eastAsia="zh-CN"/>
              </w:rPr>
              <w:t xml:space="preserve"> </w:t>
            </w:r>
            <w:r>
              <w:rPr>
                <w:rFonts w:ascii="Times New Roman" w:hAnsi="Times New Roman" w:eastAsia="宋体"/>
              </w:rPr>
              <w:t>(0.3</w:t>
            </w:r>
            <w:r>
              <w:rPr>
                <w:rFonts w:hint="eastAsia" w:ascii="Times New Roman" w:hAnsi="Times New Roman" w:eastAsia="宋体"/>
              </w:rPr>
              <w:t>9</w:t>
            </w:r>
            <w:r>
              <w:rPr>
                <w:rFonts w:ascii="Times New Roman" w:hAnsi="Times New Roman" w:eastAsia="宋体"/>
              </w:rPr>
              <w:t xml:space="preserve"> ~ </w:t>
            </w:r>
            <w:r>
              <w:rPr>
                <w:rFonts w:hint="eastAsia" w:ascii="Times New Roman" w:hAnsi="Times New Roman" w:eastAsia="宋体"/>
              </w:rPr>
              <w:t>3</w:t>
            </w:r>
            <w:r>
              <w:rPr>
                <w:rFonts w:ascii="Times New Roman" w:hAnsi="Times New Roman" w:eastAsia="宋体"/>
              </w:rPr>
              <w:t>.35)</w:t>
            </w:r>
          </w:p>
        </w:tc>
        <w:tc>
          <w:tcPr>
            <w:tcW w:w="685" w:type="dxa"/>
            <w:tcBorders>
              <w:top w:val="nil"/>
              <w:left w:val="nil"/>
              <w:bottom w:val="nil"/>
              <w:right w:val="nil"/>
            </w:tcBorders>
            <w:shd w:val="clear" w:color="auto" w:fill="FFFFFF"/>
            <w:vAlign w:val="center"/>
          </w:tcPr>
          <w:p w14:paraId="563B1F44">
            <w:pPr>
              <w:snapToGrid w:val="0"/>
              <w:rPr>
                <w:rFonts w:ascii="Times New Roman" w:hAnsi="Times New Roman" w:eastAsia="宋体" w:cstheme="minorBidi"/>
                <w:b/>
                <w:kern w:val="2"/>
                <w:sz w:val="24"/>
                <w:szCs w:val="24"/>
                <w:lang w:val="en-US" w:eastAsia="zh-CN" w:bidi="ar-SA"/>
              </w:rPr>
            </w:pPr>
            <w:r>
              <w:rPr>
                <w:rFonts w:ascii="Times New Roman" w:hAnsi="Times New Roman" w:eastAsia="宋体"/>
              </w:rPr>
              <w:t>0.</w:t>
            </w:r>
            <w:r>
              <w:rPr>
                <w:rFonts w:hint="eastAsia" w:ascii="Times New Roman" w:hAnsi="Times New Roman" w:eastAsia="宋体"/>
              </w:rPr>
              <w:t>985</w:t>
            </w:r>
          </w:p>
        </w:tc>
        <w:tc>
          <w:tcPr>
            <w:tcW w:w="2475" w:type="dxa"/>
            <w:tcBorders>
              <w:top w:val="nil"/>
              <w:left w:val="nil"/>
              <w:bottom w:val="nil"/>
              <w:right w:val="nil"/>
            </w:tcBorders>
            <w:shd w:val="clear" w:color="auto" w:fill="FFFFFF"/>
            <w:vAlign w:val="center"/>
          </w:tcPr>
          <w:p w14:paraId="49F794A1">
            <w:pPr>
              <w:snapToGrid w:val="0"/>
              <w:rPr>
                <w:rFonts w:ascii="Times New Roman" w:hAnsi="Times New Roman" w:eastAsia="宋体"/>
              </w:rPr>
            </w:pPr>
            <w:r>
              <w:rPr>
                <w:rFonts w:ascii="Times New Roman" w:hAnsi="Times New Roman" w:eastAsia="宋体"/>
              </w:rPr>
              <w:t>0.</w:t>
            </w:r>
            <w:r>
              <w:rPr>
                <w:rFonts w:hint="eastAsia" w:ascii="Times New Roman" w:hAnsi="Times New Roman" w:eastAsia="宋体"/>
              </w:rPr>
              <w:t>97</w:t>
            </w:r>
            <w:r>
              <w:rPr>
                <w:rFonts w:ascii="Times New Roman" w:hAnsi="Times New Roman" w:eastAsia="宋体"/>
              </w:rPr>
              <w:t xml:space="preserve"> </w:t>
            </w:r>
            <w:r>
              <w:rPr>
                <w:rFonts w:hint="eastAsia" w:ascii="Times New Roman" w:hAnsi="Times New Roman" w:eastAsia="宋体"/>
                <w:lang w:val="en-US" w:eastAsia="zh-CN"/>
              </w:rPr>
              <w:t xml:space="preserve"> </w:t>
            </w:r>
            <w:r>
              <w:rPr>
                <w:rFonts w:ascii="Times New Roman" w:hAnsi="Times New Roman" w:eastAsia="宋体"/>
              </w:rPr>
              <w:t>(0.</w:t>
            </w:r>
            <w:r>
              <w:rPr>
                <w:rFonts w:hint="eastAsia" w:ascii="Times New Roman" w:hAnsi="Times New Roman" w:eastAsia="宋体"/>
              </w:rPr>
              <w:t>11</w:t>
            </w:r>
            <w:r>
              <w:rPr>
                <w:rFonts w:ascii="Times New Roman" w:hAnsi="Times New Roman" w:eastAsia="宋体"/>
              </w:rPr>
              <w:t>~ 2.</w:t>
            </w:r>
            <w:r>
              <w:rPr>
                <w:rFonts w:hint="eastAsia" w:ascii="Times New Roman" w:hAnsi="Times New Roman" w:eastAsia="宋体"/>
              </w:rPr>
              <w:t>98</w:t>
            </w:r>
            <w:r>
              <w:rPr>
                <w:rFonts w:ascii="Times New Roman" w:hAnsi="Times New Roman" w:eastAsia="宋体"/>
              </w:rPr>
              <w:t>)</w:t>
            </w:r>
          </w:p>
        </w:tc>
        <w:tc>
          <w:tcPr>
            <w:tcW w:w="682" w:type="dxa"/>
            <w:tcBorders>
              <w:top w:val="nil"/>
              <w:left w:val="nil"/>
              <w:bottom w:val="nil"/>
              <w:right w:val="nil"/>
            </w:tcBorders>
            <w:shd w:val="clear" w:color="auto" w:fill="FFFFFF"/>
            <w:vAlign w:val="center"/>
          </w:tcPr>
          <w:p w14:paraId="4B05EC59">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w:t>
            </w:r>
            <w:r>
              <w:rPr>
                <w:rFonts w:hint="eastAsia" w:ascii="Times New Roman" w:hAnsi="Times New Roman" w:eastAsia="宋体"/>
              </w:rPr>
              <w:t>785</w:t>
            </w:r>
          </w:p>
        </w:tc>
      </w:tr>
      <w:tr w14:paraId="06804DF6">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1B32D114">
            <w:pPr>
              <w:snapToGrid w:val="0"/>
              <w:rPr>
                <w:rFonts w:ascii="Times New Roman" w:hAnsi="Times New Roman" w:eastAsia="宋体"/>
              </w:rPr>
            </w:pPr>
            <w:r>
              <w:rPr>
                <w:rFonts w:ascii="Times New Roman" w:hAnsi="Times New Roman" w:eastAsia="宋体"/>
              </w:rPr>
              <w:t>7aC4(ng/mL)</w:t>
            </w:r>
          </w:p>
        </w:tc>
        <w:tc>
          <w:tcPr>
            <w:tcW w:w="2289" w:type="dxa"/>
            <w:tcBorders>
              <w:top w:val="nil"/>
              <w:left w:val="nil"/>
              <w:bottom w:val="nil"/>
              <w:right w:val="nil"/>
            </w:tcBorders>
            <w:shd w:val="clear" w:color="auto" w:fill="FFFFFF"/>
            <w:vAlign w:val="center"/>
          </w:tcPr>
          <w:p w14:paraId="275CF1CC">
            <w:pPr>
              <w:snapToGrid w:val="0"/>
              <w:rPr>
                <w:rFonts w:ascii="Times New Roman" w:hAnsi="Times New Roman" w:eastAsia="宋体"/>
              </w:rPr>
            </w:pPr>
            <w:r>
              <w:rPr>
                <w:rFonts w:ascii="Times New Roman" w:hAnsi="Times New Roman" w:eastAsia="宋体"/>
              </w:rPr>
              <w:t xml:space="preserve">443.20 </w:t>
            </w:r>
            <w:r>
              <w:rPr>
                <w:rFonts w:hint="eastAsia" w:ascii="Times New Roman" w:hAnsi="Times New Roman" w:eastAsia="宋体"/>
                <w:lang w:val="en-US" w:eastAsia="zh-CN"/>
              </w:rPr>
              <w:t xml:space="preserve"> </w:t>
            </w:r>
            <w:r>
              <w:rPr>
                <w:rFonts w:ascii="Times New Roman" w:hAnsi="Times New Roman" w:eastAsia="宋体"/>
              </w:rPr>
              <w:t>(0.00 ~ Inf)</w:t>
            </w:r>
          </w:p>
        </w:tc>
        <w:tc>
          <w:tcPr>
            <w:tcW w:w="685" w:type="dxa"/>
            <w:tcBorders>
              <w:top w:val="nil"/>
              <w:left w:val="nil"/>
              <w:bottom w:val="nil"/>
              <w:right w:val="nil"/>
            </w:tcBorders>
            <w:shd w:val="clear" w:color="auto" w:fill="FFFFFF"/>
            <w:vAlign w:val="center"/>
          </w:tcPr>
          <w:p w14:paraId="69D25AE3">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0.996</w:t>
            </w:r>
          </w:p>
        </w:tc>
        <w:tc>
          <w:tcPr>
            <w:tcW w:w="2475" w:type="dxa"/>
            <w:tcBorders>
              <w:top w:val="nil"/>
              <w:left w:val="nil"/>
              <w:bottom w:val="nil"/>
              <w:right w:val="nil"/>
            </w:tcBorders>
            <w:shd w:val="clear" w:color="auto" w:fill="FFFFFF"/>
            <w:vAlign w:val="center"/>
          </w:tcPr>
          <w:p w14:paraId="7D064B42">
            <w:pPr>
              <w:snapToGrid w:val="0"/>
              <w:rPr>
                <w:rFonts w:ascii="Times New Roman" w:hAnsi="Times New Roman" w:eastAsia="宋体"/>
              </w:rPr>
            </w:pPr>
          </w:p>
        </w:tc>
        <w:tc>
          <w:tcPr>
            <w:tcW w:w="682" w:type="dxa"/>
            <w:tcBorders>
              <w:top w:val="nil"/>
              <w:left w:val="nil"/>
              <w:bottom w:val="nil"/>
              <w:right w:val="nil"/>
            </w:tcBorders>
            <w:shd w:val="clear" w:color="auto" w:fill="FFFFFF"/>
            <w:vAlign w:val="center"/>
          </w:tcPr>
          <w:p w14:paraId="55DCD0C5">
            <w:pPr>
              <w:snapToGrid w:val="0"/>
              <w:rPr>
                <w:rFonts w:ascii="Times New Roman" w:hAnsi="Times New Roman" w:eastAsia="宋体" w:cstheme="minorBidi"/>
                <w:kern w:val="2"/>
                <w:sz w:val="24"/>
                <w:szCs w:val="24"/>
                <w:lang w:val="en-US" w:eastAsia="zh-CN" w:bidi="ar-SA"/>
              </w:rPr>
            </w:pPr>
          </w:p>
        </w:tc>
      </w:tr>
      <w:tr w14:paraId="642A068C">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140DD63F">
            <w:pPr>
              <w:snapToGrid w:val="0"/>
              <w:rPr>
                <w:rFonts w:ascii="Times New Roman" w:hAnsi="Times New Roman" w:eastAsia="宋体"/>
              </w:rPr>
            </w:pPr>
            <w:r>
              <w:rPr>
                <w:rFonts w:ascii="Times New Roman" w:hAnsi="Times New Roman" w:eastAsia="宋体"/>
              </w:rPr>
              <w:t>FGF19(pg/mL)</w:t>
            </w:r>
          </w:p>
        </w:tc>
        <w:tc>
          <w:tcPr>
            <w:tcW w:w="2289" w:type="dxa"/>
            <w:tcBorders>
              <w:top w:val="nil"/>
              <w:left w:val="nil"/>
              <w:bottom w:val="nil"/>
              <w:right w:val="nil"/>
            </w:tcBorders>
            <w:shd w:val="clear" w:color="auto" w:fill="FFFFFF"/>
            <w:vAlign w:val="center"/>
          </w:tcPr>
          <w:p w14:paraId="381F3AC4">
            <w:pPr>
              <w:snapToGrid w:val="0"/>
              <w:rPr>
                <w:rFonts w:ascii="Times New Roman" w:hAnsi="Times New Roman" w:eastAsia="宋体"/>
              </w:rPr>
            </w:pPr>
            <w:r>
              <w:rPr>
                <w:rFonts w:ascii="Times New Roman" w:hAnsi="Times New Roman" w:eastAsia="宋体"/>
              </w:rPr>
              <w:t>0.89</w:t>
            </w:r>
            <w:r>
              <w:rPr>
                <w:rFonts w:hint="eastAsia" w:ascii="Times New Roman" w:hAnsi="Times New Roman" w:eastAsia="宋体"/>
                <w:lang w:val="en-US" w:eastAsia="zh-CN"/>
              </w:rPr>
              <w:t xml:space="preserve"> </w:t>
            </w:r>
            <w:r>
              <w:rPr>
                <w:rFonts w:ascii="Times New Roman" w:hAnsi="Times New Roman" w:eastAsia="宋体"/>
              </w:rPr>
              <w:t xml:space="preserve"> (0.84 ~ 0.94)</w:t>
            </w:r>
          </w:p>
        </w:tc>
        <w:tc>
          <w:tcPr>
            <w:tcW w:w="685" w:type="dxa"/>
            <w:tcBorders>
              <w:top w:val="nil"/>
              <w:left w:val="nil"/>
              <w:bottom w:val="nil"/>
              <w:right w:val="nil"/>
            </w:tcBorders>
            <w:shd w:val="clear" w:color="auto" w:fill="FFFFFF"/>
            <w:vAlign w:val="center"/>
          </w:tcPr>
          <w:p w14:paraId="71B7C5C4">
            <w:pPr>
              <w:snapToGrid w:val="0"/>
              <w:rPr>
                <w:rFonts w:ascii="Times New Roman" w:hAnsi="Times New Roman" w:eastAsia="宋体" w:cstheme="minorBidi"/>
                <w:b/>
                <w:kern w:val="2"/>
                <w:sz w:val="24"/>
                <w:szCs w:val="24"/>
                <w:lang w:val="en-US" w:eastAsia="zh-CN" w:bidi="ar-SA"/>
              </w:rPr>
            </w:pPr>
            <w:r>
              <w:rPr>
                <w:rFonts w:ascii="Times New Roman" w:hAnsi="Times New Roman" w:eastAsia="宋体"/>
                <w:b/>
              </w:rPr>
              <w:t>&lt;.001</w:t>
            </w:r>
          </w:p>
        </w:tc>
        <w:tc>
          <w:tcPr>
            <w:tcW w:w="2475" w:type="dxa"/>
            <w:tcBorders>
              <w:top w:val="nil"/>
              <w:left w:val="nil"/>
              <w:bottom w:val="nil"/>
              <w:right w:val="nil"/>
            </w:tcBorders>
            <w:shd w:val="clear" w:color="auto" w:fill="FFFFFF"/>
            <w:vAlign w:val="center"/>
          </w:tcPr>
          <w:p w14:paraId="4A79860A">
            <w:pPr>
              <w:snapToGrid w:val="0"/>
              <w:rPr>
                <w:rFonts w:ascii="Times New Roman" w:hAnsi="Times New Roman" w:eastAsia="宋体"/>
              </w:rPr>
            </w:pPr>
            <w:r>
              <w:rPr>
                <w:rFonts w:ascii="Times New Roman" w:hAnsi="Times New Roman" w:eastAsia="宋体"/>
              </w:rPr>
              <w:t>0.91</w:t>
            </w:r>
            <w:r>
              <w:rPr>
                <w:rFonts w:hint="eastAsia" w:ascii="Times New Roman" w:hAnsi="Times New Roman" w:eastAsia="宋体"/>
                <w:lang w:val="en-US" w:eastAsia="zh-CN"/>
              </w:rPr>
              <w:t xml:space="preserve"> </w:t>
            </w:r>
            <w:r>
              <w:rPr>
                <w:rFonts w:ascii="Times New Roman" w:hAnsi="Times New Roman" w:eastAsia="宋体"/>
              </w:rPr>
              <w:t xml:space="preserve"> (0.83 ~ 0.99)</w:t>
            </w:r>
          </w:p>
        </w:tc>
        <w:tc>
          <w:tcPr>
            <w:tcW w:w="682" w:type="dxa"/>
            <w:tcBorders>
              <w:top w:val="nil"/>
              <w:left w:val="nil"/>
              <w:bottom w:val="nil"/>
              <w:right w:val="nil"/>
            </w:tcBorders>
            <w:shd w:val="clear" w:color="auto" w:fill="FFFFFF"/>
            <w:vAlign w:val="center"/>
          </w:tcPr>
          <w:p w14:paraId="7E560DB8">
            <w:pPr>
              <w:snapToGrid w:val="0"/>
              <w:rPr>
                <w:rFonts w:ascii="Times New Roman" w:hAnsi="Times New Roman" w:eastAsia="宋体" w:cstheme="minorBidi"/>
                <w:kern w:val="2"/>
                <w:sz w:val="24"/>
                <w:szCs w:val="24"/>
                <w:lang w:val="en-US" w:eastAsia="zh-CN" w:bidi="ar-SA"/>
              </w:rPr>
            </w:pPr>
            <w:r>
              <w:rPr>
                <w:rFonts w:ascii="Times New Roman" w:hAnsi="Times New Roman" w:eastAsia="宋体"/>
                <w:b/>
              </w:rPr>
              <w:t>0.034</w:t>
            </w:r>
          </w:p>
        </w:tc>
      </w:tr>
      <w:tr w14:paraId="585E9840">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0B004B41">
            <w:pPr>
              <w:snapToGrid w:val="0"/>
              <w:rPr>
                <w:rFonts w:ascii="Times New Roman" w:hAnsi="Times New Roman" w:eastAsia="宋体"/>
              </w:rPr>
            </w:pPr>
            <w:r>
              <w:rPr>
                <w:rFonts w:ascii="Times New Roman" w:hAnsi="Times New Roman" w:eastAsia="宋体"/>
              </w:rPr>
              <w:t>BMI(kg/m2)</w:t>
            </w:r>
          </w:p>
        </w:tc>
        <w:tc>
          <w:tcPr>
            <w:tcW w:w="2289" w:type="dxa"/>
            <w:tcBorders>
              <w:top w:val="nil"/>
              <w:left w:val="nil"/>
              <w:bottom w:val="nil"/>
              <w:right w:val="nil"/>
            </w:tcBorders>
            <w:shd w:val="clear" w:color="auto" w:fill="FFFFFF"/>
            <w:vAlign w:val="center"/>
          </w:tcPr>
          <w:p w14:paraId="3FEEA204">
            <w:pPr>
              <w:snapToGrid w:val="0"/>
              <w:rPr>
                <w:rFonts w:ascii="Times New Roman" w:hAnsi="Times New Roman" w:eastAsia="宋体"/>
              </w:rPr>
            </w:pPr>
            <w:r>
              <w:rPr>
                <w:rFonts w:ascii="Times New Roman" w:hAnsi="Times New Roman" w:eastAsia="宋体"/>
              </w:rPr>
              <w:t>1.16</w:t>
            </w:r>
            <w:r>
              <w:rPr>
                <w:rFonts w:hint="eastAsia" w:ascii="Times New Roman" w:hAnsi="Times New Roman" w:eastAsia="宋体"/>
                <w:lang w:val="en-US" w:eastAsia="zh-CN"/>
              </w:rPr>
              <w:t xml:space="preserve"> </w:t>
            </w:r>
            <w:r>
              <w:rPr>
                <w:rFonts w:ascii="Times New Roman" w:hAnsi="Times New Roman" w:eastAsia="宋体"/>
              </w:rPr>
              <w:t xml:space="preserve"> (0.97 ~ 1.39)</w:t>
            </w:r>
          </w:p>
        </w:tc>
        <w:tc>
          <w:tcPr>
            <w:tcW w:w="685" w:type="dxa"/>
            <w:tcBorders>
              <w:top w:val="nil"/>
              <w:left w:val="nil"/>
              <w:bottom w:val="nil"/>
              <w:right w:val="nil"/>
            </w:tcBorders>
            <w:shd w:val="clear" w:color="auto" w:fill="FFFFFF"/>
            <w:vAlign w:val="center"/>
          </w:tcPr>
          <w:p w14:paraId="1922CE6F">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0.106</w:t>
            </w:r>
          </w:p>
        </w:tc>
        <w:tc>
          <w:tcPr>
            <w:tcW w:w="2475" w:type="dxa"/>
            <w:tcBorders>
              <w:top w:val="nil"/>
              <w:left w:val="nil"/>
              <w:bottom w:val="nil"/>
              <w:right w:val="nil"/>
            </w:tcBorders>
            <w:shd w:val="clear" w:color="auto" w:fill="FFFFFF"/>
            <w:vAlign w:val="center"/>
          </w:tcPr>
          <w:p w14:paraId="09816917">
            <w:pPr>
              <w:snapToGrid w:val="0"/>
              <w:rPr>
                <w:rFonts w:ascii="Times New Roman" w:hAnsi="Times New Roman" w:eastAsia="宋体"/>
              </w:rPr>
            </w:pPr>
          </w:p>
        </w:tc>
        <w:tc>
          <w:tcPr>
            <w:tcW w:w="682" w:type="dxa"/>
            <w:tcBorders>
              <w:top w:val="nil"/>
              <w:left w:val="nil"/>
              <w:bottom w:val="nil"/>
              <w:right w:val="nil"/>
            </w:tcBorders>
            <w:shd w:val="clear" w:color="auto" w:fill="FFFFFF"/>
            <w:vAlign w:val="center"/>
          </w:tcPr>
          <w:p w14:paraId="08F04C44">
            <w:pPr>
              <w:snapToGrid w:val="0"/>
              <w:rPr>
                <w:rFonts w:ascii="Times New Roman" w:hAnsi="Times New Roman" w:eastAsia="宋体" w:cstheme="minorBidi"/>
                <w:kern w:val="2"/>
                <w:sz w:val="24"/>
                <w:szCs w:val="24"/>
                <w:lang w:val="en-US" w:eastAsia="zh-CN" w:bidi="ar-SA"/>
              </w:rPr>
            </w:pPr>
          </w:p>
        </w:tc>
      </w:tr>
      <w:tr w14:paraId="25AEABA6">
        <w:tblPrEx>
          <w:tblCellMar>
            <w:top w:w="32" w:type="dxa"/>
            <w:left w:w="64" w:type="dxa"/>
            <w:bottom w:w="32" w:type="dxa"/>
            <w:right w:w="64" w:type="dxa"/>
          </w:tblCellMar>
        </w:tblPrEx>
        <w:trPr>
          <w:trHeight w:val="0" w:hRule="atLeast"/>
          <w:jc w:val="center"/>
        </w:trPr>
        <w:tc>
          <w:tcPr>
            <w:tcW w:w="2404" w:type="dxa"/>
            <w:tcBorders>
              <w:top w:val="nil"/>
              <w:left w:val="nil"/>
              <w:bottom w:val="nil"/>
              <w:right w:val="nil"/>
            </w:tcBorders>
            <w:shd w:val="clear" w:color="auto" w:fill="FFFFFF"/>
            <w:vAlign w:val="center"/>
          </w:tcPr>
          <w:p w14:paraId="7B8F8027">
            <w:pPr>
              <w:snapToGrid w:val="0"/>
              <w:rPr>
                <w:rFonts w:ascii="Times New Roman" w:hAnsi="Times New Roman" w:eastAsia="宋体"/>
              </w:rPr>
            </w:pPr>
            <w:r>
              <w:rPr>
                <w:rFonts w:ascii="Times New Roman" w:hAnsi="Times New Roman" w:eastAsia="宋体"/>
              </w:rPr>
              <w:t>FBA（umol/L）</w:t>
            </w:r>
          </w:p>
        </w:tc>
        <w:tc>
          <w:tcPr>
            <w:tcW w:w="2289" w:type="dxa"/>
            <w:tcBorders>
              <w:top w:val="nil"/>
              <w:left w:val="nil"/>
              <w:bottom w:val="nil"/>
              <w:right w:val="nil"/>
            </w:tcBorders>
            <w:shd w:val="clear" w:color="auto" w:fill="FFFFFF"/>
            <w:vAlign w:val="center"/>
          </w:tcPr>
          <w:p w14:paraId="33E15B7D">
            <w:pPr>
              <w:snapToGrid w:val="0"/>
              <w:rPr>
                <w:rFonts w:ascii="Times New Roman" w:hAnsi="Times New Roman" w:eastAsia="宋体"/>
              </w:rPr>
            </w:pPr>
            <w:r>
              <w:rPr>
                <w:rFonts w:ascii="Times New Roman" w:hAnsi="Times New Roman" w:eastAsia="宋体"/>
              </w:rPr>
              <w:t>1.77</w:t>
            </w:r>
            <w:r>
              <w:rPr>
                <w:rFonts w:hint="eastAsia" w:ascii="Times New Roman" w:hAnsi="Times New Roman" w:eastAsia="宋体"/>
                <w:lang w:val="en-US" w:eastAsia="zh-CN"/>
              </w:rPr>
              <w:t xml:space="preserve"> </w:t>
            </w:r>
            <w:r>
              <w:rPr>
                <w:rFonts w:ascii="Times New Roman" w:hAnsi="Times New Roman" w:eastAsia="宋体"/>
              </w:rPr>
              <w:t xml:space="preserve"> (1.35 ~ 2.32)</w:t>
            </w:r>
          </w:p>
        </w:tc>
        <w:tc>
          <w:tcPr>
            <w:tcW w:w="685" w:type="dxa"/>
            <w:tcBorders>
              <w:top w:val="nil"/>
              <w:left w:val="nil"/>
              <w:bottom w:val="nil"/>
              <w:right w:val="nil"/>
            </w:tcBorders>
            <w:shd w:val="clear" w:color="auto" w:fill="FFFFFF"/>
            <w:vAlign w:val="center"/>
          </w:tcPr>
          <w:p w14:paraId="5B0321D6">
            <w:pPr>
              <w:snapToGrid w:val="0"/>
              <w:rPr>
                <w:rFonts w:ascii="Times New Roman" w:hAnsi="Times New Roman" w:eastAsia="宋体" w:cstheme="minorBidi"/>
                <w:b/>
                <w:kern w:val="2"/>
                <w:sz w:val="24"/>
                <w:szCs w:val="24"/>
                <w:lang w:val="en-US" w:eastAsia="zh-CN" w:bidi="ar-SA"/>
              </w:rPr>
            </w:pPr>
            <w:r>
              <w:rPr>
                <w:rFonts w:ascii="Times New Roman" w:hAnsi="Times New Roman" w:eastAsia="宋体"/>
                <w:b/>
              </w:rPr>
              <w:t>&lt;.001</w:t>
            </w:r>
          </w:p>
        </w:tc>
        <w:tc>
          <w:tcPr>
            <w:tcW w:w="2475" w:type="dxa"/>
            <w:tcBorders>
              <w:top w:val="nil"/>
              <w:left w:val="nil"/>
              <w:bottom w:val="nil"/>
              <w:right w:val="nil"/>
            </w:tcBorders>
            <w:shd w:val="clear" w:color="auto" w:fill="FFFFFF"/>
            <w:vAlign w:val="center"/>
          </w:tcPr>
          <w:p w14:paraId="2E62E8CA">
            <w:pPr>
              <w:snapToGrid w:val="0"/>
              <w:rPr>
                <w:rFonts w:ascii="Times New Roman" w:hAnsi="Times New Roman" w:eastAsia="宋体"/>
              </w:rPr>
            </w:pPr>
            <w:r>
              <w:rPr>
                <w:rFonts w:ascii="Times New Roman" w:hAnsi="Times New Roman" w:eastAsia="宋体"/>
              </w:rPr>
              <w:t>1.28</w:t>
            </w:r>
            <w:r>
              <w:rPr>
                <w:rFonts w:hint="eastAsia" w:ascii="Times New Roman" w:hAnsi="Times New Roman" w:eastAsia="宋体"/>
                <w:lang w:val="en-US" w:eastAsia="zh-CN"/>
              </w:rPr>
              <w:t xml:space="preserve"> </w:t>
            </w:r>
            <w:r>
              <w:rPr>
                <w:rFonts w:ascii="Times New Roman" w:hAnsi="Times New Roman" w:eastAsia="宋体"/>
              </w:rPr>
              <w:t xml:space="preserve"> (0.78 ~ 2.11)</w:t>
            </w:r>
          </w:p>
        </w:tc>
        <w:tc>
          <w:tcPr>
            <w:tcW w:w="682" w:type="dxa"/>
            <w:tcBorders>
              <w:top w:val="nil"/>
              <w:left w:val="nil"/>
              <w:bottom w:val="nil"/>
              <w:right w:val="nil"/>
            </w:tcBorders>
            <w:shd w:val="clear" w:color="auto" w:fill="FFFFFF"/>
            <w:vAlign w:val="center"/>
          </w:tcPr>
          <w:p w14:paraId="2CF26A97">
            <w:pPr>
              <w:snapToGrid w:val="0"/>
              <w:rPr>
                <w:rFonts w:ascii="Times New Roman" w:hAnsi="Times New Roman" w:eastAsia="宋体" w:cstheme="minorBidi"/>
                <w:kern w:val="2"/>
                <w:sz w:val="24"/>
                <w:szCs w:val="24"/>
                <w:lang w:val="en-US" w:eastAsia="zh-CN" w:bidi="ar-SA"/>
              </w:rPr>
            </w:pPr>
            <w:r>
              <w:rPr>
                <w:rFonts w:ascii="Times New Roman" w:hAnsi="Times New Roman" w:eastAsia="宋体"/>
              </w:rPr>
              <w:t>0.336</w:t>
            </w:r>
          </w:p>
        </w:tc>
      </w:tr>
      <w:tr w14:paraId="48797DA1">
        <w:tblPrEx>
          <w:tblCellMar>
            <w:top w:w="32" w:type="dxa"/>
            <w:left w:w="64" w:type="dxa"/>
            <w:bottom w:w="32" w:type="dxa"/>
            <w:right w:w="64" w:type="dxa"/>
          </w:tblCellMar>
        </w:tblPrEx>
        <w:trPr>
          <w:trHeight w:val="0" w:hRule="atLeast"/>
          <w:jc w:val="center"/>
        </w:trPr>
        <w:tc>
          <w:tcPr>
            <w:tcW w:w="2404" w:type="dxa"/>
            <w:tcBorders>
              <w:top w:val="nil"/>
              <w:left w:val="nil"/>
              <w:bottom w:val="single" w:color="000000" w:sz="8" w:space="0"/>
              <w:right w:val="nil"/>
            </w:tcBorders>
            <w:shd w:val="clear" w:color="auto" w:fill="FFFFFF"/>
            <w:vAlign w:val="center"/>
          </w:tcPr>
          <w:p w14:paraId="7B0F9590">
            <w:pPr>
              <w:snapToGrid w:val="0"/>
              <w:rPr>
                <w:rFonts w:ascii="Times New Roman" w:hAnsi="Times New Roman" w:eastAsia="宋体"/>
              </w:rPr>
            </w:pPr>
            <w:r>
              <w:rPr>
                <w:rFonts w:ascii="Times New Roman" w:hAnsi="Times New Roman" w:eastAsia="宋体"/>
              </w:rPr>
              <w:t>FBA</w:t>
            </w:r>
          </w:p>
          <w:p w14:paraId="56CDF4C2">
            <w:pPr>
              <w:snapToGrid w:val="0"/>
              <w:rPr>
                <w:rFonts w:ascii="Times New Roman" w:hAnsi="Times New Roman" w:eastAsia="宋体"/>
              </w:rPr>
            </w:pPr>
            <w:r>
              <w:rPr>
                <w:rFonts w:ascii="Times New Roman" w:hAnsi="Times New Roman" w:eastAsia="宋体"/>
              </w:rPr>
              <w:t>after FM(umol/L)</w:t>
            </w:r>
          </w:p>
        </w:tc>
        <w:tc>
          <w:tcPr>
            <w:tcW w:w="2289" w:type="dxa"/>
            <w:tcBorders>
              <w:top w:val="nil"/>
              <w:left w:val="nil"/>
              <w:bottom w:val="single" w:color="000000" w:sz="8" w:space="0"/>
              <w:right w:val="nil"/>
            </w:tcBorders>
            <w:shd w:val="clear" w:color="auto" w:fill="FFFFFF"/>
            <w:vAlign w:val="center"/>
          </w:tcPr>
          <w:p w14:paraId="7A14A89E">
            <w:pPr>
              <w:snapToGrid w:val="0"/>
              <w:rPr>
                <w:rFonts w:ascii="Times New Roman" w:hAnsi="Times New Roman" w:eastAsia="宋体"/>
              </w:rPr>
            </w:pPr>
            <w:r>
              <w:rPr>
                <w:rFonts w:ascii="Times New Roman" w:hAnsi="Times New Roman" w:eastAsia="宋体"/>
              </w:rPr>
              <w:t xml:space="preserve">1.84 </w:t>
            </w:r>
            <w:r>
              <w:rPr>
                <w:rFonts w:hint="eastAsia" w:ascii="Times New Roman" w:hAnsi="Times New Roman" w:eastAsia="宋体"/>
                <w:lang w:val="en-US" w:eastAsia="zh-CN"/>
              </w:rPr>
              <w:t xml:space="preserve"> </w:t>
            </w:r>
            <w:r>
              <w:rPr>
                <w:rFonts w:ascii="Times New Roman" w:hAnsi="Times New Roman" w:eastAsia="宋体"/>
              </w:rPr>
              <w:t>(1.41 ~ 2.39)</w:t>
            </w:r>
          </w:p>
        </w:tc>
        <w:tc>
          <w:tcPr>
            <w:tcW w:w="685" w:type="dxa"/>
            <w:tcBorders>
              <w:top w:val="nil"/>
              <w:left w:val="nil"/>
              <w:bottom w:val="single" w:color="000000" w:sz="8" w:space="0"/>
              <w:right w:val="nil"/>
            </w:tcBorders>
            <w:shd w:val="clear" w:color="auto" w:fill="FFFFFF"/>
            <w:vAlign w:val="center"/>
          </w:tcPr>
          <w:p w14:paraId="6B67BC2B">
            <w:pPr>
              <w:snapToGrid w:val="0"/>
              <w:rPr>
                <w:rFonts w:ascii="Times New Roman" w:hAnsi="Times New Roman" w:eastAsia="宋体" w:cstheme="minorBidi"/>
                <w:b/>
                <w:kern w:val="2"/>
                <w:sz w:val="24"/>
                <w:szCs w:val="24"/>
                <w:lang w:val="en-US" w:eastAsia="zh-CN" w:bidi="ar-SA"/>
              </w:rPr>
            </w:pPr>
            <w:r>
              <w:rPr>
                <w:rFonts w:ascii="Times New Roman" w:hAnsi="Times New Roman" w:eastAsia="宋体"/>
                <w:b/>
              </w:rPr>
              <w:t>&lt;.001</w:t>
            </w:r>
          </w:p>
        </w:tc>
        <w:tc>
          <w:tcPr>
            <w:tcW w:w="2475" w:type="dxa"/>
            <w:tcBorders>
              <w:top w:val="nil"/>
              <w:left w:val="nil"/>
              <w:bottom w:val="single" w:color="000000" w:sz="8" w:space="0"/>
              <w:right w:val="nil"/>
            </w:tcBorders>
            <w:shd w:val="clear" w:color="auto" w:fill="FFFFFF"/>
            <w:vAlign w:val="center"/>
          </w:tcPr>
          <w:p w14:paraId="0C2CA867">
            <w:pPr>
              <w:snapToGrid w:val="0"/>
              <w:rPr>
                <w:rFonts w:ascii="Times New Roman" w:hAnsi="Times New Roman" w:eastAsia="宋体"/>
              </w:rPr>
            </w:pPr>
            <w:r>
              <w:rPr>
                <w:rFonts w:ascii="Times New Roman" w:hAnsi="Times New Roman" w:eastAsia="宋体"/>
              </w:rPr>
              <w:t>1.42</w:t>
            </w:r>
            <w:r>
              <w:rPr>
                <w:rFonts w:hint="eastAsia" w:ascii="Times New Roman" w:hAnsi="Times New Roman" w:eastAsia="宋体"/>
                <w:lang w:val="en-US" w:eastAsia="zh-CN"/>
              </w:rPr>
              <w:t xml:space="preserve"> </w:t>
            </w:r>
            <w:r>
              <w:rPr>
                <w:rFonts w:ascii="Times New Roman" w:hAnsi="Times New Roman" w:eastAsia="宋体"/>
              </w:rPr>
              <w:t xml:space="preserve"> (1.03 ~ 1.96)</w:t>
            </w:r>
          </w:p>
        </w:tc>
        <w:tc>
          <w:tcPr>
            <w:tcW w:w="682" w:type="dxa"/>
            <w:tcBorders>
              <w:top w:val="nil"/>
              <w:left w:val="nil"/>
              <w:bottom w:val="single" w:color="000000" w:sz="8" w:space="0"/>
              <w:right w:val="nil"/>
            </w:tcBorders>
            <w:shd w:val="clear" w:color="auto" w:fill="FFFFFF"/>
            <w:vAlign w:val="center"/>
          </w:tcPr>
          <w:p w14:paraId="0FA04EC8">
            <w:pPr>
              <w:snapToGrid w:val="0"/>
              <w:rPr>
                <w:rFonts w:ascii="Times New Roman" w:hAnsi="Times New Roman" w:eastAsia="宋体" w:cstheme="minorBidi"/>
                <w:kern w:val="2"/>
                <w:sz w:val="24"/>
                <w:szCs w:val="24"/>
                <w:lang w:val="en-US" w:eastAsia="zh-CN" w:bidi="ar-SA"/>
              </w:rPr>
            </w:pPr>
            <w:r>
              <w:rPr>
                <w:rFonts w:ascii="Times New Roman" w:hAnsi="Times New Roman" w:eastAsia="宋体"/>
                <w:b/>
              </w:rPr>
              <w:t>0.034</w:t>
            </w:r>
          </w:p>
        </w:tc>
      </w:tr>
    </w:tbl>
    <w:p w14:paraId="1B44FD92">
      <w:pP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CI </w:t>
      </w:r>
      <w:r>
        <w:rPr>
          <w:rFonts w:hint="default" w:ascii="Times New Roman" w:hAnsi="Times New Roman" w:eastAsia="宋体" w:cs="Times New Roman"/>
          <w:sz w:val="24"/>
          <w:szCs w:val="24"/>
        </w:rPr>
        <w:t>confidence interval</w:t>
      </w:r>
      <w:r>
        <w:rPr>
          <w:rFonts w:hint="eastAsia" w:ascii="Times New Roman" w:hAnsi="Times New Roman" w:eastAsia="宋体"/>
          <w:lang w:val="en-US" w:eastAsia="zh-CN"/>
        </w:rPr>
        <w:t xml:space="preserve"> </w:t>
      </w:r>
    </w:p>
    <w:p w14:paraId="35760B86">
      <w:pPr>
        <w:rPr>
          <w:rFonts w:hint="default" w:ascii="Times New Roman" w:hAnsi="Times New Roman" w:cs="Times New Roman"/>
          <w:b/>
          <w:bCs/>
          <w:sz w:val="24"/>
          <w:szCs w:val="24"/>
        </w:rPr>
      </w:pPr>
      <w:r>
        <w:rPr>
          <w:rFonts w:hint="default" w:ascii="Times New Roman" w:hAnsi="Times New Roman" w:eastAsia="Times New Roman" w:cs="Times New Roman"/>
          <w:b/>
          <w:bCs/>
          <w:sz w:val="24"/>
          <w:szCs w:val="24"/>
        </w:rPr>
        <w:t>Construction and validation of the model</w:t>
      </w:r>
    </w:p>
    <w:p w14:paraId="0CA4DEB0">
      <w:pPr>
        <w:ind w:firstLine="480" w:firstLineChars="200"/>
        <w:rPr>
          <w:rFonts w:hint="default" w:ascii="Times New Roman" w:hAnsi="Times New Roman" w:cs="Times New Roman"/>
          <w:b w:val="0"/>
          <w:bCs w:val="0"/>
          <w:color w:val="000000" w:themeColor="text1"/>
          <w:sz w:val="24"/>
          <w:szCs w:val="24"/>
          <w14:textFill>
            <w14:solidFill>
              <w14:schemeClr w14:val="tx1"/>
            </w14:solidFill>
          </w14:textFill>
        </w:rPr>
      </w:pPr>
      <w:r>
        <w:rPr>
          <w:rFonts w:hint="default" w:ascii="Times New Roman" w:hAnsi="Times New Roman" w:eastAsia="Times New Roman" w:cs="Times New Roman"/>
          <w:b w:val="0"/>
          <w:bCs w:val="0"/>
          <w:color w:val="000000" w:themeColor="text1"/>
          <w:sz w:val="24"/>
          <w:szCs w:val="24"/>
          <w14:textFill>
            <w14:solidFill>
              <w14:schemeClr w14:val="tx1"/>
            </w14:solidFill>
          </w14:textFill>
        </w:rPr>
        <w:t>According to the independent predictors screened in this study, the model was visually established, and based on Bristol stool trait classification, serum FGF19, and fecal bile acid after fat meal, the prediction model was presented in the form of a nomogram (Figure 3). The area under the ROC curve of the model was 0.97 (95%CI: 0.94-1.00) in the training set and 0.89 (95%CI: 0.80-0.99) in the validation set (Figure 4).The area under the ROC curve for each factor is presented in Supplementary Table 3.</w:t>
      </w:r>
    </w:p>
    <w:p w14:paraId="2BFFB299">
      <w:pPr>
        <w:rPr>
          <w:rFonts w:hint="default" w:ascii="Times New Roman" w:hAnsi="Times New Roman" w:cs="Times New Roman"/>
          <w:b w:val="0"/>
          <w:bCs w:val="0"/>
          <w:color w:val="000000" w:themeColor="text1"/>
          <w:sz w:val="24"/>
          <w:szCs w:val="24"/>
          <w14:textFill>
            <w14:solidFill>
              <w14:schemeClr w14:val="tx1"/>
            </w14:solidFill>
          </w14:textFill>
        </w:rPr>
      </w:pPr>
      <w:r>
        <w:rPr>
          <w:rFonts w:hint="eastAsia" w:ascii="Times New Roman" w:hAnsi="Times New Roman" w:cs="Times New Roman" w:eastAsiaTheme="minorEastAsia"/>
          <w:sz w:val="24"/>
          <w:szCs w:val="24"/>
          <w:lang w:eastAsia="zh-CN"/>
        </w:rPr>
        <w:drawing>
          <wp:inline distT="0" distB="0" distL="114300" distR="114300">
            <wp:extent cx="4711700" cy="1804035"/>
            <wp:effectExtent l="0" t="0" r="0" b="12065"/>
            <wp:docPr id="2" name="图片 2" descr="列线图_20251022230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列线图_20251022230825"/>
                    <pic:cNvPicPr>
                      <a:picLocks noChangeAspect="1"/>
                    </pic:cNvPicPr>
                  </pic:nvPicPr>
                  <pic:blipFill>
                    <a:blip r:embed="rId6"/>
                    <a:srcRect l="11522" t="403" r="9517" b="45868"/>
                    <a:stretch>
                      <a:fillRect/>
                    </a:stretch>
                  </pic:blipFill>
                  <pic:spPr>
                    <a:xfrm>
                      <a:off x="0" y="0"/>
                      <a:ext cx="4711700" cy="1804035"/>
                    </a:xfrm>
                    <a:prstGeom prst="rect">
                      <a:avLst/>
                    </a:prstGeom>
                  </pic:spPr>
                </pic:pic>
              </a:graphicData>
            </a:graphic>
          </wp:inline>
        </w:drawing>
      </w:r>
    </w:p>
    <w:p w14:paraId="628EBF0C">
      <w:pPr>
        <w:rPr>
          <w:rFonts w:hint="default" w:ascii="Times New Roman" w:hAnsi="Times New Roman" w:cs="Times New Roman"/>
          <w:sz w:val="24"/>
          <w:szCs w:val="24"/>
        </w:rPr>
      </w:pPr>
      <w:r>
        <w:rPr>
          <w:rFonts w:hint="default" w:ascii="Times New Roman" w:hAnsi="Times New Roman" w:eastAsia="Times New Roman" w:cs="Times New Roman"/>
          <w:sz w:val="24"/>
          <w:szCs w:val="24"/>
        </w:rPr>
        <w:t>Figure 3</w:t>
      </w:r>
      <w:r>
        <w:rPr>
          <w:rFonts w:hint="eastAsia" w:ascii="Times New Roman" w:hAnsi="Times New Roman" w:eastAsia="宋体" w:cs="Times New Roman"/>
          <w:sz w:val="24"/>
          <w:szCs w:val="24"/>
          <w:lang w:val="en-US" w:eastAsia="zh-CN"/>
        </w:rPr>
        <w:t>.</w:t>
      </w:r>
      <w:r>
        <w:rPr>
          <w:rFonts w:hint="default" w:ascii="Times New Roman" w:hAnsi="Times New Roman" w:eastAsia="Times New Roman" w:cs="Times New Roman"/>
          <w:sz w:val="24"/>
          <w:szCs w:val="24"/>
        </w:rPr>
        <w:t xml:space="preserve"> Nomogram of the BAD diagnostic model</w:t>
      </w:r>
    </w:p>
    <w:p w14:paraId="66C7C5A8">
      <w:pPr>
        <w:rPr>
          <w:rFonts w:hint="default" w:ascii="Times New Roman" w:hAnsi="Times New Roman" w:cs="Times New Roman"/>
          <w:sz w:val="24"/>
          <w:szCs w:val="24"/>
        </w:rPr>
      </w:pPr>
      <w:r>
        <w:rPr>
          <w:rFonts w:hint="default" w:ascii="Times New Roman" w:hAnsi="Times New Roman" w:eastAsia="Times New Roman" w:cs="Times New Roman"/>
          <w:sz w:val="24"/>
          <w:szCs w:val="24"/>
        </w:rPr>
        <w:t>A                            B</w:t>
      </w:r>
    </w:p>
    <w:p w14:paraId="29FA452C">
      <w:pP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4432935" cy="2079625"/>
            <wp:effectExtent l="0" t="0" r="12065" b="3175"/>
            <wp:docPr id="10023525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2508" name="图片 1"/>
                    <pic:cNvPicPr>
                      <a:picLocks noChangeAspect="1" noChangeArrowheads="1"/>
                    </pic:cNvPicPr>
                  </pic:nvPicPr>
                  <pic:blipFill>
                    <a:blip r:embed="rId7">
                      <a:extLst>
                        <a:ext uri="{28A0092B-C50C-407E-A947-70E740481C1C}">
                          <a14:useLocalDpi xmlns:a14="http://schemas.microsoft.com/office/drawing/2010/main" val="0"/>
                        </a:ext>
                      </a:extLst>
                    </a:blip>
                    <a:srcRect l="1" t="491" r="674" b="4610"/>
                    <a:stretch>
                      <a:fillRect/>
                    </a:stretch>
                  </pic:blipFill>
                  <pic:spPr>
                    <a:xfrm>
                      <a:off x="0" y="0"/>
                      <a:ext cx="4432935" cy="2079625"/>
                    </a:xfrm>
                    <a:prstGeom prst="rect">
                      <a:avLst/>
                    </a:prstGeom>
                    <a:noFill/>
                    <a:ln>
                      <a:noFill/>
                    </a:ln>
                  </pic:spPr>
                </pic:pic>
              </a:graphicData>
            </a:graphic>
          </wp:inline>
        </w:drawing>
      </w:r>
    </w:p>
    <w:p w14:paraId="4A23F58B">
      <w:pPr>
        <w:rPr>
          <w:rFonts w:hint="default" w:ascii="Times New Roman" w:hAnsi="Times New Roman" w:eastAsia="宋体" w:cs="Times New Roman"/>
          <w:b w:val="0"/>
          <w:bCs w:val="0"/>
          <w:color w:val="000000" w:themeColor="text1"/>
          <w:sz w:val="24"/>
          <w:szCs w:val="24"/>
          <w14:textFill>
            <w14:solidFill>
              <w14:schemeClr w14:val="tx1"/>
            </w14:solidFill>
          </w14:textFill>
        </w:rPr>
      </w:pPr>
      <w:r>
        <w:rPr>
          <w:rFonts w:hint="default" w:ascii="Times New Roman" w:hAnsi="Times New Roman" w:eastAsia="Times New Roman" w:cs="Times New Roman"/>
          <w:sz w:val="24"/>
          <w:szCs w:val="24"/>
        </w:rPr>
        <w:t xml:space="preserve">Figure </w:t>
      </w:r>
      <w:r>
        <w:rPr>
          <w:rFonts w:hint="eastAsia" w:ascii="Times New Roman" w:hAnsi="Times New Roman" w:eastAsia="宋体" w:cs="Times New Roman"/>
          <w:sz w:val="24"/>
          <w:szCs w:val="24"/>
          <w:lang w:val="en-US" w:eastAsia="zh-CN"/>
        </w:rPr>
        <w:t>4.</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 xml:space="preserve">ROC Curve of the BAD diagnostic model. </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A:</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Training set</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 xml:space="preserve"> B:</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 xml:space="preserve"> validation set (B).</w:t>
      </w:r>
    </w:p>
    <w:p w14:paraId="06ADB3A6">
      <w:pPr>
        <w:rPr>
          <w:rFonts w:hint="default" w:ascii="Times New Roman" w:hAnsi="Times New Roman" w:cs="Times New Roman"/>
          <w:b/>
          <w:bCs/>
          <w:sz w:val="24"/>
          <w:szCs w:val="24"/>
        </w:rPr>
      </w:pP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Accuracy and clinical practicability of the model</w:t>
      </w:r>
    </w:p>
    <w:p w14:paraId="50D190F7">
      <w:pPr>
        <w:ind w:firstLine="480" w:firstLineChars="200"/>
        <w:rPr>
          <w:rFonts w:hint="default" w:ascii="Times New Roman" w:hAnsi="Times New Roman" w:cs="Times New Roman"/>
          <w:sz w:val="24"/>
          <w:szCs w:val="24"/>
        </w:rPr>
      </w:pPr>
      <w:r>
        <w:rPr>
          <w:rFonts w:hint="default" w:ascii="Times New Roman" w:hAnsi="Times New Roman" w:eastAsia="Times New Roman" w:cs="Times New Roman"/>
          <w:sz w:val="24"/>
          <w:szCs w:val="24"/>
        </w:rPr>
        <w:t xml:space="preserve">The calibration curve of the model showed that it showed good calibration in both the training set and the validation set, and the predicted probability was highly consistent with the actual probability (FIG. 5). Decision curve analysis further showed that the net clinical benefit of the model was significantly higher than that of the "all intervention" and "no intervention" strategies in both cohorts, confirming the good clinical utility of the model for accurate prediction of the risk of BAD in populations with chronic diarrhea (Figure 6). </w:t>
      </w:r>
    </w:p>
    <w:p w14:paraId="12B32D46">
      <w:pPr>
        <w:rPr>
          <w:rFonts w:hint="default" w:ascii="Times New Roman" w:hAnsi="Times New Roman" w:cs="Times New Roman"/>
          <w:sz w:val="24"/>
          <w:szCs w:val="24"/>
        </w:rPr>
      </w:pPr>
    </w:p>
    <w:p w14:paraId="7EDC8C3A">
      <w:pPr>
        <w:rPr>
          <w:rFonts w:hint="default" w:ascii="Times New Roman" w:hAnsi="Times New Roman" w:cs="Times New Roman"/>
          <w:sz w:val="24"/>
          <w:szCs w:val="24"/>
        </w:rPr>
      </w:pPr>
    </w:p>
    <w:p w14:paraId="6DFC76F1">
      <w:pPr>
        <w:rPr>
          <w:rFonts w:hint="default" w:ascii="Times New Roman" w:hAnsi="Times New Roman" w:cs="Times New Roman"/>
          <w:sz w:val="24"/>
          <w:szCs w:val="24"/>
        </w:rPr>
      </w:pPr>
      <w:r>
        <w:rPr>
          <w:rFonts w:hint="default" w:ascii="Times New Roman" w:hAnsi="Times New Roman" w:eastAsia="Times New Roman" w:cs="Times New Roman"/>
          <w:sz w:val="24"/>
          <w:szCs w:val="24"/>
        </w:rPr>
        <w:t>A                                  B</w:t>
      </w:r>
    </w:p>
    <w:p w14:paraId="096BEEB8">
      <w:pP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5321935" cy="2051050"/>
            <wp:effectExtent l="0" t="0" r="0" b="6350"/>
            <wp:docPr id="19040576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57617"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327232" cy="2053031"/>
                    </a:xfrm>
                    <a:prstGeom prst="rect">
                      <a:avLst/>
                    </a:prstGeom>
                    <a:noFill/>
                    <a:ln>
                      <a:noFill/>
                    </a:ln>
                  </pic:spPr>
                </pic:pic>
              </a:graphicData>
            </a:graphic>
          </wp:inline>
        </w:drawing>
      </w:r>
    </w:p>
    <w:p w14:paraId="0CB1C35E">
      <w:pPr>
        <w:rPr>
          <w:rFonts w:hint="default" w:ascii="Times New Roman" w:hAnsi="Times New Roman" w:eastAsia="宋体" w:cs="Times New Roman"/>
          <w:b w:val="0"/>
          <w:bCs w:val="0"/>
          <w:sz w:val="24"/>
          <w:szCs w:val="24"/>
        </w:rPr>
      </w:pPr>
      <w:r>
        <w:rPr>
          <w:rFonts w:hint="default" w:ascii="Times New Roman" w:hAnsi="Times New Roman" w:eastAsia="Times New Roman" w:cs="Times New Roman"/>
          <w:b w:val="0"/>
          <w:bCs w:val="0"/>
          <w:sz w:val="24"/>
          <w:szCs w:val="24"/>
        </w:rPr>
        <w:t>Figure 5. Calibration curve of BAD model in training and validation cohorts. A:training cohort B: validation cohort.</w:t>
      </w:r>
    </w:p>
    <w:p w14:paraId="1AA09B4F">
      <w:pPr>
        <w:rPr>
          <w:rFonts w:hint="default" w:ascii="Times New Roman" w:hAnsi="Times New Roman" w:eastAsia="宋体" w:cs="Times New Roman"/>
          <w:b/>
          <w:bCs/>
          <w:sz w:val="24"/>
          <w:szCs w:val="24"/>
        </w:rPr>
      </w:pPr>
    </w:p>
    <w:p w14:paraId="1E72D4FB">
      <w:p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A                                 B</w:t>
      </w:r>
    </w:p>
    <w:p w14:paraId="36616C43">
      <w:pPr>
        <w:rPr>
          <w:rFonts w:hint="default" w:ascii="Times New Roman" w:hAnsi="Times New Roman" w:eastAsia="宋体" w:cs="Times New Roman"/>
          <w:b/>
          <w:bCs/>
          <w:sz w:val="24"/>
          <w:szCs w:val="24"/>
        </w:rPr>
      </w:pPr>
      <w:r>
        <w:rPr>
          <w:rFonts w:hint="default" w:ascii="Times New Roman" w:hAnsi="Times New Roman" w:cs="Times New Roman"/>
          <w:sz w:val="24"/>
          <w:szCs w:val="24"/>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19050</wp:posOffset>
                </wp:positionV>
                <wp:extent cx="5353050" cy="2120900"/>
                <wp:effectExtent l="0" t="0" r="0" b="0"/>
                <wp:wrapNone/>
                <wp:docPr id="6" name="组合 5"/>
                <wp:cNvGraphicFramePr/>
                <a:graphic xmlns:a="http://schemas.openxmlformats.org/drawingml/2006/main">
                  <a:graphicData uri="http://schemas.microsoft.com/office/word/2010/wordprocessingGroup">
                    <wpg:wgp>
                      <wpg:cNvGrpSpPr/>
                      <wpg:grpSpPr>
                        <a:xfrm>
                          <a:off x="0" y="0"/>
                          <a:ext cx="5353050" cy="2120900"/>
                          <a:chOff x="0" y="0"/>
                          <a:chExt cx="17184" cy="5997"/>
                        </a:xfrm>
                      </wpg:grpSpPr>
                      <pic:pic xmlns:pic="http://schemas.openxmlformats.org/drawingml/2006/picture">
                        <pic:nvPicPr>
                          <pic:cNvPr id="1677390738" name="图片 1677390738" descr="训练集DCA"/>
                          <pic:cNvPicPr>
                            <a:picLocks noChangeAspect="1"/>
                          </pic:cNvPicPr>
                        </pic:nvPicPr>
                        <pic:blipFill>
                          <a:blip r:embed="rId9"/>
                          <a:stretch>
                            <a:fillRect/>
                          </a:stretch>
                        </pic:blipFill>
                        <pic:spPr>
                          <a:xfrm>
                            <a:off x="0" y="0"/>
                            <a:ext cx="8476" cy="5997"/>
                          </a:xfrm>
                          <a:prstGeom prst="rect">
                            <a:avLst/>
                          </a:prstGeom>
                        </pic:spPr>
                      </pic:pic>
                      <pic:pic xmlns:pic="http://schemas.openxmlformats.org/drawingml/2006/picture">
                        <pic:nvPicPr>
                          <pic:cNvPr id="1162131037" name="图片 1162131037" descr="验证集DCA"/>
                          <pic:cNvPicPr>
                            <a:picLocks noChangeAspect="1"/>
                          </pic:cNvPicPr>
                        </pic:nvPicPr>
                        <pic:blipFill>
                          <a:blip r:embed="rId10"/>
                          <a:stretch>
                            <a:fillRect/>
                          </a:stretch>
                        </pic:blipFill>
                        <pic:spPr>
                          <a:xfrm>
                            <a:off x="8749" y="30"/>
                            <a:ext cx="8435" cy="5967"/>
                          </a:xfrm>
                          <a:prstGeom prst="rect">
                            <a:avLst/>
                          </a:prstGeom>
                        </pic:spPr>
                      </pic:pic>
                    </wpg:wgp>
                  </a:graphicData>
                </a:graphic>
              </wp:anchor>
            </w:drawing>
          </mc:Choice>
          <mc:Fallback>
            <w:pict>
              <v:group id="组合 5" o:spid="_x0000_s1026" o:spt="203" style="position:absolute;left:0pt;margin-top:1.5pt;height:167pt;width:421.5pt;mso-position-horizontal:left;mso-position-horizontal-relative:margin;z-index:251659264;mso-width-relative:page;mso-height-relative:page;" coordsize="17184,5997" o:gfxdata="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">
                <o:lock v:ext="edit" aspectratio="f"/>
                <v:shape id="_x0000_s1026" o:spid="_x0000_s1026" o:spt="75" alt="训练集DCA" type="#_x0000_t75" style="position:absolute;left:0;top:0;height:5997;width:8476;" filled="f" o:preferrelative="t" stroked="f" coordsize="21600,21600" o:gfxdata="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DLqVHixgAAAOMAAAAPAAAAAAAAAAEAIAAAACIAAABkcnMvZG93bnJldi54bWxQSwECFAAUAAAA&#10;CACHTuJAMy8FnjsAAAA5AAAAEAAAAAAAAAABACAAAAAVAQAAZHJzL3NoYXBleG1sLnhtbFBLBQYA&#10;AAAABgAGAFsBAAC/AwAAAAA=&#10;">
                  <v:fill on="f" focussize="0,0"/>
                  <v:stroke on="f"/>
                  <v:imagedata r:id="rId9" o:title=""/>
                  <o:lock v:ext="edit" aspectratio="t"/>
                </v:shape>
                <v:shape id="_x0000_s1026" o:spid="_x0000_s1026" o:spt="75" alt="验证集DCA" type="#_x0000_t75" style="position:absolute;left:8749;top:30;height:5967;width:8435;" filled="f" o:preferrelative="t" stroked="f" coordsize="21600,21600" o:gfxdata="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8zHG/&#10;AAAA4wAAAA8AAAAAAAAAAQAgAAAAIgAAAGRycy9kb3ducmV2LnhtbFBLAQIUABQAAAAIAIdO4kAz&#10;LwWeOwAAADkAAAAQAAAAAAAAAAEAIAAAAA4BAABkcnMvc2hhcGV4bWwueG1sUEsFBgAAAAAGAAYA&#10;WwEAALgDAAAAAA==&#10;">
                  <v:fill on="f" focussize="0,0"/>
                  <v:stroke on="f"/>
                  <v:imagedata r:id="rId10" o:title=""/>
                  <o:lock v:ext="edit" aspectratio="t"/>
                </v:shape>
              </v:group>
            </w:pict>
          </mc:Fallback>
        </mc:AlternateContent>
      </w:r>
    </w:p>
    <w:p w14:paraId="52832054">
      <w:pPr>
        <w:rPr>
          <w:rFonts w:hint="default" w:ascii="Times New Roman" w:hAnsi="Times New Roman" w:eastAsia="宋体" w:cs="Times New Roman"/>
          <w:b/>
          <w:bCs/>
          <w:sz w:val="24"/>
          <w:szCs w:val="24"/>
        </w:rPr>
      </w:pPr>
    </w:p>
    <w:p w14:paraId="0B7C1621">
      <w:pPr>
        <w:rPr>
          <w:rFonts w:hint="default" w:ascii="Times New Roman" w:hAnsi="Times New Roman" w:eastAsia="宋体" w:cs="Times New Roman"/>
          <w:b/>
          <w:bCs/>
          <w:sz w:val="24"/>
          <w:szCs w:val="24"/>
        </w:rPr>
      </w:pPr>
    </w:p>
    <w:p w14:paraId="32699AC6">
      <w:pPr>
        <w:rPr>
          <w:rFonts w:hint="default" w:ascii="Times New Roman" w:hAnsi="Times New Roman" w:eastAsia="宋体" w:cs="Times New Roman"/>
          <w:b/>
          <w:bCs/>
          <w:sz w:val="24"/>
          <w:szCs w:val="24"/>
        </w:rPr>
      </w:pPr>
    </w:p>
    <w:p w14:paraId="18636CE8">
      <w:pPr>
        <w:rPr>
          <w:rFonts w:hint="default" w:ascii="Times New Roman" w:hAnsi="Times New Roman" w:eastAsia="宋体" w:cs="Times New Roman"/>
          <w:b/>
          <w:bCs/>
          <w:sz w:val="24"/>
          <w:szCs w:val="24"/>
        </w:rPr>
      </w:pPr>
    </w:p>
    <w:p w14:paraId="3955C4FE">
      <w:pPr>
        <w:rPr>
          <w:rFonts w:hint="default" w:ascii="Times New Roman" w:hAnsi="Times New Roman" w:eastAsia="宋体" w:cs="Times New Roman"/>
          <w:b/>
          <w:bCs/>
          <w:sz w:val="24"/>
          <w:szCs w:val="24"/>
        </w:rPr>
      </w:pPr>
    </w:p>
    <w:p w14:paraId="2A730D68">
      <w:pPr>
        <w:rPr>
          <w:rFonts w:hint="default" w:ascii="Times New Roman" w:hAnsi="Times New Roman" w:eastAsia="宋体" w:cs="Times New Roman"/>
          <w:b/>
          <w:bCs/>
          <w:sz w:val="24"/>
          <w:szCs w:val="24"/>
        </w:rPr>
      </w:pPr>
    </w:p>
    <w:p w14:paraId="1AD60D0D">
      <w:pPr>
        <w:rPr>
          <w:rFonts w:hint="default" w:ascii="Times New Roman" w:hAnsi="Times New Roman" w:eastAsia="宋体" w:cs="Times New Roman"/>
          <w:b/>
          <w:bCs/>
          <w:sz w:val="24"/>
          <w:szCs w:val="24"/>
        </w:rPr>
      </w:pPr>
    </w:p>
    <w:p w14:paraId="20BF5D07">
      <w:pPr>
        <w:rPr>
          <w:rFonts w:hint="default" w:ascii="Times New Roman" w:hAnsi="Times New Roman" w:eastAsia="宋体" w:cs="Times New Roman"/>
          <w:b/>
          <w:bCs/>
          <w:sz w:val="24"/>
          <w:szCs w:val="24"/>
        </w:rPr>
      </w:pPr>
    </w:p>
    <w:p w14:paraId="68609CF3">
      <w:pPr>
        <w:rPr>
          <w:rFonts w:hint="default" w:ascii="Times New Roman" w:hAnsi="Times New Roman" w:eastAsia="宋体" w:cs="Times New Roman"/>
          <w:b/>
          <w:bCs/>
          <w:sz w:val="24"/>
          <w:szCs w:val="24"/>
        </w:rPr>
      </w:pPr>
    </w:p>
    <w:p w14:paraId="5D71F416">
      <w:pPr>
        <w:rPr>
          <w:rFonts w:hint="default" w:ascii="Times New Roman" w:hAnsi="Times New Roman" w:eastAsia="宋体" w:cs="Times New Roman"/>
          <w:b/>
          <w:bCs/>
          <w:sz w:val="24"/>
          <w:szCs w:val="24"/>
        </w:rPr>
      </w:pPr>
    </w:p>
    <w:p w14:paraId="77ADD9B7">
      <w:pPr>
        <w:rPr>
          <w:rFonts w:hint="default" w:ascii="Times New Roman" w:hAnsi="Times New Roman" w:eastAsia="宋体" w:cs="Times New Roman"/>
          <w:b w:val="0"/>
          <w:bCs w:val="0"/>
          <w:sz w:val="24"/>
          <w:szCs w:val="24"/>
        </w:rPr>
      </w:pPr>
      <w:r>
        <w:rPr>
          <w:rFonts w:hint="default" w:ascii="Times New Roman" w:hAnsi="Times New Roman" w:eastAsia="Times New Roman" w:cs="Times New Roman"/>
          <w:b w:val="0"/>
          <w:bCs w:val="0"/>
          <w:sz w:val="24"/>
          <w:szCs w:val="24"/>
        </w:rPr>
        <w:t>Figure 6.Decision curve of BAD model in training and validation cohorts. A:training cohort B: validation cohort.</w:t>
      </w:r>
    </w:p>
    <w:p w14:paraId="638626A2">
      <w:pPr>
        <w:rPr>
          <w:rFonts w:hint="default" w:ascii="Times New Roman" w:hAnsi="Times New Roman" w:eastAsia="宋体" w:cs="Times New Roman"/>
          <w:b/>
          <w:bCs/>
          <w:sz w:val="24"/>
          <w:szCs w:val="24"/>
        </w:rPr>
      </w:pPr>
    </w:p>
    <w:p w14:paraId="2C84F716">
      <w:pPr>
        <w:rPr>
          <w:rFonts w:hint="default" w:ascii="Times New Roman" w:hAnsi="Times New Roman" w:eastAsia="宋体" w:cs="Times New Roman"/>
          <w:b/>
          <w:bCs/>
          <w:sz w:val="24"/>
          <w:szCs w:val="24"/>
        </w:rPr>
      </w:pPr>
    </w:p>
    <w:p w14:paraId="0407BF7E">
      <w:pPr>
        <w:rPr>
          <w:rFonts w:hint="default" w:ascii="Times New Roman" w:hAnsi="Times New Roman" w:eastAsia="宋体" w:cs="Times New Roman"/>
          <w:b/>
          <w:bCs/>
          <w:sz w:val="24"/>
          <w:szCs w:val="24"/>
        </w:rPr>
      </w:pPr>
    </w:p>
    <w:p w14:paraId="3849F69A">
      <w:pPr>
        <w:rPr>
          <w:rFonts w:hint="default" w:ascii="Times New Roman" w:hAnsi="Times New Roman" w:eastAsia="宋体" w:cs="Times New Roman"/>
          <w:b/>
          <w:bCs/>
          <w:sz w:val="24"/>
          <w:szCs w:val="24"/>
        </w:rPr>
      </w:pPr>
    </w:p>
    <w:p w14:paraId="088643C5">
      <w:pPr>
        <w:rPr>
          <w:rFonts w:hint="default" w:ascii="Times New Roman" w:hAnsi="Times New Roman" w:eastAsia="宋体" w:cs="Times New Roman"/>
          <w:b/>
          <w:bCs/>
          <w:sz w:val="24"/>
          <w:szCs w:val="24"/>
        </w:rPr>
      </w:pPr>
    </w:p>
    <w:p w14:paraId="21E29D88">
      <w:pPr>
        <w:rPr>
          <w:rFonts w:hint="default" w:ascii="Times New Roman" w:hAnsi="Times New Roman" w:eastAsia="宋体" w:cs="Times New Roman"/>
          <w:b/>
          <w:bCs/>
          <w:sz w:val="24"/>
          <w:szCs w:val="24"/>
        </w:rPr>
      </w:pPr>
    </w:p>
    <w:p w14:paraId="0DC23065">
      <w:p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 xml:space="preserve">Discussion: </w:t>
      </w:r>
    </w:p>
    <w:p w14:paraId="6DC738D4">
      <w:pPr>
        <w:ind w:firstLine="480"/>
        <w:rPr>
          <w:rFonts w:hint="default" w:ascii="Times New Roman" w:hAnsi="Times New Roman" w:eastAsia="宋体" w:cs="Times New Roman"/>
          <w:b w:val="0"/>
          <w:bCs w:val="0"/>
          <w:sz w:val="24"/>
          <w:szCs w:val="24"/>
        </w:rPr>
      </w:pPr>
      <w:r>
        <w:rPr>
          <w:rFonts w:hint="default" w:ascii="Times New Roman" w:hAnsi="Times New Roman" w:eastAsia="Times New Roman" w:cs="Times New Roman"/>
          <w:color w:val="000000"/>
          <w:sz w:val="24"/>
          <w:szCs w:val="24"/>
        </w:rPr>
        <w:t>BAD is a common but easily missed and misdiagnosed cause of chronic diarrhea. Due</w:t>
      </w:r>
      <w:r>
        <w:rPr>
          <w:rFonts w:hint="default" w:ascii="Times New Roman" w:hAnsi="Times New Roman" w:eastAsia="Times New Roman" w:cs="Times New Roman"/>
          <w:b w:val="0"/>
          <w:bCs w:val="0"/>
          <w:color w:val="000000"/>
          <w:sz w:val="24"/>
          <w:szCs w:val="24"/>
        </w:rPr>
        <w:t xml:space="preserve"> to the lack of effective and simple clinical diagnostic methods, BAD is often overlooked</w:t>
      </w:r>
      <w:r>
        <w:rPr>
          <w:rFonts w:hint="default" w:ascii="Times New Roman" w:hAnsi="Times New Roman" w:eastAsia="宋体" w:cs="Times New Roman"/>
          <w:b w:val="0"/>
          <w:bCs w:val="0"/>
          <w:color w:val="000000"/>
          <w:sz w:val="24"/>
          <w:szCs w:val="24"/>
        </w:rPr>
        <w:fldChar w:fldCharType="begin"/>
      </w:r>
      <w:r>
        <w:rPr>
          <w:rFonts w:hint="default" w:ascii="Times New Roman" w:hAnsi="Times New Roman" w:eastAsia="宋体" w:cs="Times New Roman"/>
          <w:b w:val="0"/>
          <w:bCs w:val="0"/>
          <w:color w:val="000000"/>
          <w:sz w:val="24"/>
          <w:szCs w:val="24"/>
        </w:rPr>
        <w:instrText xml:space="preserve"> ADDIN ZOTERO_ITEM CSL_CITATION {"citationID":"YsKiFn2c","properties":{"formattedCitation":"\\super [20]\\nosupersub{}","plainCitation":"[20]","noteIndex":0},"citationItems":[{"id":106,"uris":["http://zotero.org/users/17452529/items/CBL34F9G"],"itemData":{"id":106,"type":"article-journal","abstract":"Bile acid diarrhea (BAD) is characterized by increased frequency of bowel movements, looser stool consistency, urgency, and need for proximity to toilet facilities owing to the severity of the diarrhea, when compared with or relative to irritable bowel syndrome with diarrhea. Consequently, BAD leads to decreased quality of life. The condition is often misdiagnosed as irritable bowel syndrome with diarrhea or functional diarrhea. Patients with BAD have accelerated colonic transit, increased intestinal or colonic mucosal permeability, and altered stool microbiome composition associated with reduced dehydroxylation of primary to secondary bile acids. The established diagnostic test, selenium-75 homocholic acid taurine retention, is not available in the United States. Therefore, 48-hour fecal bile acid excretion has been the gold standard for diagnosis. With recent validation of combined measurement of primary bile acids in a single, random stool in addition to fasting serum 7α-hydroxy-4-cholesten-3-one, a practical point-of-care diagnostic test will soon be available. Randomized controlled trials have documented superiority of colesevelam to placebo and, in a separate study, superiority of the glucagon-like peptide 1 agonist liraglutide compared with colesevelam. Novel experimental approaches for BAD include farnesoid X receptor agonists and fibroblast growth factor 19 analogs. This article updates information on the pathophysiology, mechanisms, manifestations, diagnosis, and treatment of BAD.","language":"en","source":"Zotero","title":"New Developments in Bile Acid Diarrhea","author":[{"family":"Camilleri","given":"Michael"},{"family":"BouSaba","given":"Joelle"}]}}],"schema":"https://github.com/citation-style-language/schema/raw/master/csl-citation.json"} </w:instrText>
      </w:r>
      <w:r>
        <w:rPr>
          <w:rFonts w:hint="default" w:ascii="Times New Roman" w:hAnsi="Times New Roman" w:eastAsia="宋体" w:cs="Times New Roman"/>
          <w:b w:val="0"/>
          <w:bCs w:val="0"/>
          <w:color w:val="000000"/>
          <w:sz w:val="24"/>
          <w:szCs w:val="24"/>
        </w:rPr>
        <w:fldChar w:fldCharType="separate"/>
      </w:r>
      <w:r>
        <w:rPr>
          <w:rFonts w:hint="default" w:ascii="Times New Roman" w:hAnsi="Times New Roman" w:eastAsia="Times New Roman" w:cs="Times New Roman"/>
          <w:b w:val="0"/>
          <w:bCs w:val="0"/>
          <w:kern w:val="0"/>
          <w:sz w:val="24"/>
          <w:szCs w:val="24"/>
          <w:vertAlign w:val="superscript"/>
        </w:rPr>
        <w:t>[20]</w:t>
      </w:r>
      <w:r>
        <w:rPr>
          <w:rFonts w:hint="default" w:ascii="Times New Roman" w:hAnsi="Times New Roman" w:eastAsia="宋体" w:cs="Times New Roman"/>
          <w:b w:val="0"/>
          <w:bCs w:val="0"/>
          <w:color w:val="000000"/>
          <w:sz w:val="24"/>
          <w:szCs w:val="24"/>
        </w:rPr>
        <w:fldChar w:fldCharType="end"/>
      </w:r>
      <w:r>
        <w:rPr>
          <w:rFonts w:hint="default" w:ascii="Times New Roman" w:hAnsi="Times New Roman" w:eastAsia="Times New Roman" w:cs="Times New Roman"/>
          <w:b w:val="0"/>
          <w:bCs w:val="0"/>
          <w:color w:val="000000"/>
          <w:sz w:val="24"/>
          <w:szCs w:val="24"/>
        </w:rPr>
        <w:t xml:space="preserve"> in clinical practice.</w:t>
      </w:r>
    </w:p>
    <w:p w14:paraId="0EDC0851">
      <w:pPr>
        <w:ind w:firstLine="480"/>
        <w:rPr>
          <w:rFonts w:hint="default" w:ascii="Times New Roman" w:hAnsi="Times New Roman" w:eastAsia="宋体" w:cs="Times New Roman"/>
          <w:b w:val="0"/>
          <w:bCs w:val="0"/>
          <w:color w:val="FF0000"/>
          <w:sz w:val="24"/>
          <w:szCs w:val="24"/>
        </w:rPr>
      </w:pPr>
      <w:r>
        <w:rPr>
          <w:rFonts w:hint="default" w:ascii="Times New Roman" w:hAnsi="Times New Roman" w:eastAsia="Times New Roman" w:cs="Times New Roman"/>
          <w:b w:val="0"/>
          <w:bCs w:val="0"/>
          <w:sz w:val="24"/>
          <w:szCs w:val="24"/>
        </w:rPr>
        <w:t>In this study, IBS-D was divided into BAD group and non-BAD group based on serum C4 as the reference standard, and a random single fecal bile acid measurement was performed. Univariate logistic regression analysis showed that there was a significant difference in this index between the two groups (P &lt; 0.05), but there was no significant difference in multivariate analysis (P &gt; 0.05), which was consistent with the results of previous studies</w:t>
      </w:r>
      <w:r>
        <w:rPr>
          <w:rFonts w:hint="default" w:ascii="Times New Roman" w:hAnsi="Times New Roman" w:eastAsia="宋体" w:cs="Times New Roman"/>
          <w:b w:val="0"/>
          <w:bCs w:val="0"/>
          <w:sz w:val="24"/>
          <w:szCs w:val="24"/>
          <w:vertAlign w:val="superscript"/>
        </w:rPr>
        <w:fldChar w:fldCharType="begin"/>
      </w:r>
      <w:r>
        <w:rPr>
          <w:rFonts w:hint="default" w:ascii="Times New Roman" w:hAnsi="Times New Roman" w:eastAsia="宋体" w:cs="Times New Roman"/>
          <w:b w:val="0"/>
          <w:bCs w:val="0"/>
          <w:sz w:val="24"/>
          <w:szCs w:val="24"/>
          <w:vertAlign w:val="superscript"/>
        </w:rPr>
        <w:instrText xml:space="preserve"> ADDIN ZOTERO_ITEM CSL_CITATION {"citationID":"IBHP6CGq","properties":{"formattedCitation":"\\super [14]\\nosupersub{}","plainCitation":"[14]","dontUpdate":true,"noteIndex":0},"citationItems":[{"id":22,"uris":["http://zotero.org/users/local/QMzx35VM/items/JERKHZAE","http://zotero.org/users/17452529/items/JERKHZAE"],"itemData":{"id":22,"type":"article-journal","abstract":"BACKGROUND: The serum biomarkers, elevated 7αC4 (C4) and decreased FGF19, have been proposed as screening tests for bile acid diarrhoea.\nAIM: To analyse prevalence, specificity and reproducibility of fasting C4 and FGF19 in identifying bile acid diarrhoea in patients with irritable bowel syndrome with predominant diarrhoea or functional diarrhoea (summarised as IBS-D).\nMETHODS: We prospectively studied fasting serum C4 and FGF19 in 101 IBS-D patients; we reviewed data from 37 of the 101 patients with prior fasting serum C4 and FGF19 and from 30 of the 101 patients with prior faecal bile acids per 48 hours. We compared results with normal values (C4 ≥52.5 ng/mL [n=184], FGF-19 ≤61.7 pg/mL [n=50]). We used Spearman correlation and Bland-Altman plots to appraise reproducibility.\nRESULTS: Among the 101 patients, there was a negative correlation between serum C4 and FGF19 (Rs=-.342, P=.0005). Bile acid diarrhoea was diagnosed in 10 patients based on elevated serum C4 levels (mean 23.5±23.1 [SD] ng/mL) and 21 patients based on decreased FGF19 levels (121.6±84.2 pg/mL). With replicate tests in patients with stable IBS-D, 78% of C4 and 70% of FGF19 measurements remained concordant, with 3% and 11% respectively consistently positive for bile acid diarrhoea in the 101 patients. Compared to 48 hours faecal bile acids, specificity for C4 and FGF19 was 83% and 78%, respectively. Bland-Altman plots demonstrated greater reliability of C4 than FGF19.\nCONCLUSIONS: Among 101 patents with IBS-D, fasting FGF19 and C4 levels had good specificity and negative predictive value, suggesting utility as screening tests to exclude bile acid diarrhoea.","container-title":"Alimentary Pharmacology &amp; Therapeutics","DOI":"10.1111/apt.14214","ISSN":"1365-2036","issue":"6","journalAbbreviation":"Aliment Pharmacol Ther","language":"eng","note":"PMID: 28691284\nPMCID: PMC5555810","page":"581-588","source":"PubMed","title":"Performance characteristics of serum C4 and FGF19 measurements to exclude the diagnosis of bile acid diarrhoea in IBS-diarrhoea and functional diarrhoea","volume":"46","author":[{"family":"Vijayvargiya","given":"P."},{"family":"Camilleri","given":"M."},{"family":"Carlson","given":"P."},{"family":"Lueke","given":"A."},{"family":"O'Neill","given":"J."},{"family":"Burton","given":"D."},{"family":"Busciglio","given":"I."},{"family":"Donato","given":"L."}],"issued":{"date-parts":[["2017",9]]}}}],"schema":"https://github.com/citation-style-language/schema/raw/master/csl-citation.json"} </w:instrText>
      </w:r>
      <w:r>
        <w:rPr>
          <w:rFonts w:hint="default" w:ascii="Times New Roman" w:hAnsi="Times New Roman" w:eastAsia="宋体" w:cs="Times New Roman"/>
          <w:b w:val="0"/>
          <w:bCs w:val="0"/>
          <w:sz w:val="24"/>
          <w:szCs w:val="24"/>
          <w:vertAlign w:val="superscript"/>
        </w:rPr>
        <w:fldChar w:fldCharType="separate"/>
      </w:r>
      <w:r>
        <w:rPr>
          <w:rFonts w:hint="default" w:ascii="Times New Roman" w:hAnsi="Times New Roman" w:eastAsia="Times New Roman" w:cs="Times New Roman"/>
          <w:b w:val="0"/>
          <w:bCs w:val="0"/>
          <w:sz w:val="24"/>
          <w:szCs w:val="24"/>
          <w:vertAlign w:val="superscript"/>
        </w:rPr>
        <w:t>[10,11]</w:t>
      </w:r>
      <w:r>
        <w:rPr>
          <w:rFonts w:hint="default" w:ascii="Times New Roman" w:hAnsi="Times New Roman" w:eastAsia="宋体" w:cs="Times New Roman"/>
          <w:b w:val="0"/>
          <w:bCs w:val="0"/>
          <w:sz w:val="24"/>
          <w:szCs w:val="24"/>
          <w:vertAlign w:val="superscript"/>
        </w:rPr>
        <w:fldChar w:fldCharType="end"/>
      </w:r>
      <w:r>
        <w:rPr>
          <w:rFonts w:hint="default" w:ascii="Times New Roman" w:hAnsi="Times New Roman" w:eastAsia="Times New Roman" w:cs="Times New Roman"/>
          <w:b w:val="0"/>
          <w:bCs w:val="0"/>
          <w:sz w:val="24"/>
          <w:szCs w:val="24"/>
        </w:rPr>
        <w:t>. This result is consistent with the results of previous studies. Although the single fecal bile acid test is simple to perform, it lacks certain specificity. To further improve the diagnostic efficiency, this study was the first to measure fecal bile acids after the fatty meal intervention, and the results showed that the fecal bile acid level after the fatty meal was significantly higher than that in the non-BAD group (P &lt; 0.001). This study focused on type 2 BAD (idiopathic BAD). The main pathogenesis of idiopathic BAD may be related to bile acid enterohepatic circulation disorders caused by gene mutations or low levels of FGF19</w:t>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ADDIN ZOTERO_ITEM CSL_CITATION {"citationID":"WFKA8hEu","properties":{"formattedCitation":"\\super [21]\\nosupersub{}","plainCitation":"[21]","noteIndex":0},"citationItems":[{"id":124,"uris":["http://zotero.org/users/17452529/items/EWSAN94S"],"itemData":{"id":124,"type":"article-journal","abstract":"Bile acid diarrhea (BAD) is a multifaceted intestinal disorder involving intricate molecular mechanisms, including farnesoid X receptor (FXR), fibroblast growth factor receptor 4 (FGFR4), and Takeda G protein–coupled receptor 5 (TGR5). Current diagnostic methods encompass bile acid sequestrants (BAS), 48-h fecal bile acid tests, serum 7α-hydroxy-4-cholesten-3-one (C4), fibroblast growth factor 19 (FGF19) testing, and 75Selenium HomotauroCholic acid test (75SeHCAT). Treatment primarily involves BAS and FXR agonists. However, due to the limited sensitivity and specificity of current diagnostic methods, as well as suboptimal treatment efficacy and the presence of side effects, there is an urgent need to establish new diagnostic and treatment methods. While prior literature has summarized various diagnostic and treatment methods and the pathogenesis of BAD, no previous work has linked the two. This review offers a molecular perspective on the clinical diagnosis and treatment of BAD, with a focus on FXR, FGFR4, and TGR5, emphasizing the potential for identifying additional molecular mechanisms as treatment targets and bridging the gap between diagnostic and treatment methods and molecular mechanisms for a novel approach to the clinical management of BAD.","container-title":"International Journal of Molecular Sciences","DOI":"10.3390/ijms25031544","ISSN":"1422-0067","issue":"3","journalAbbreviation":"IJMS","language":"en","page":"1544","source":"DOI.org (Crossref)","title":"Bile Acid Diarrhea: From Molecular Mechanisms to Clinical Diagnosis and Treatment in the Era of Precision Medicine","title-short":"Bile Acid Diarrhea","volume":"25","author":[{"family":"Yang","given":"Daiyu"},{"family":"Lyu","given":"Chengzhen"},{"family":"He","given":"Kun"},{"family":"Pang","given":"Ke"},{"family":"Guo","given":"Ziqi"},{"family":"Wu","given":"Dong"}],"issued":{"date-parts":[["2024",1,26]]}}}],"schema":"https://github.com/citation-style-language/schema/raw/master/csl-citation.json"}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Times New Roman" w:cs="Times New Roman"/>
          <w:b w:val="0"/>
          <w:bCs w:val="0"/>
          <w:kern w:val="0"/>
          <w:sz w:val="24"/>
          <w:szCs w:val="24"/>
          <w:vertAlign w:val="superscript"/>
        </w:rPr>
        <w:t>[21]</w:t>
      </w:r>
      <w:r>
        <w:rPr>
          <w:rFonts w:hint="default" w:ascii="Times New Roman" w:hAnsi="Times New Roman" w:eastAsia="宋体" w:cs="Times New Roman"/>
          <w:b w:val="0"/>
          <w:bCs w:val="0"/>
          <w:sz w:val="24"/>
          <w:szCs w:val="24"/>
        </w:rPr>
        <w:fldChar w:fldCharType="end"/>
      </w:r>
      <w:r>
        <w:rPr>
          <w:rFonts w:hint="default" w:ascii="Times New Roman" w:hAnsi="Times New Roman" w:eastAsia="Times New Roman" w:cs="Times New Roman"/>
          <w:b w:val="0"/>
          <w:bCs w:val="0"/>
          <w:sz w:val="24"/>
          <w:szCs w:val="24"/>
        </w:rPr>
        <w:t xml:space="preserve">. Fatty meal intake can promote the secretion of bile acids, and the significantly increased excretion of total fecal bile acids in patients with impaired enterohepatic circulation may be the main mechanism of this study. In addition, serum FGF19 expression levels in patients with BAD were also evaluated. The results showed that serum FGF19 level in patients with BAD was significantly lower than that in healthy controls and non-BAD patients </w:t>
      </w:r>
      <w:r>
        <w:rPr>
          <w:rFonts w:hint="default" w:ascii="Times New Roman" w:hAnsi="Times New Roman" w:eastAsia="Times New Roman" w:cs="Times New Roman"/>
          <w:b w:val="0"/>
          <w:bCs w:val="0"/>
          <w:color w:val="000000"/>
          <w:sz w:val="24"/>
          <w:szCs w:val="24"/>
        </w:rPr>
        <w:t>(P&lt; 0.001)</w:t>
      </w:r>
      <w:r>
        <w:rPr>
          <w:rFonts w:hint="default" w:ascii="Times New Roman" w:hAnsi="Times New Roman" w:eastAsia="Times New Roman" w:cs="Times New Roman"/>
          <w:b w:val="0"/>
          <w:bCs w:val="0"/>
          <w:sz w:val="24"/>
          <w:szCs w:val="24"/>
        </w:rPr>
        <w:t xml:space="preserve">, which may be </w:t>
      </w:r>
      <w:r>
        <w:rPr>
          <w:rFonts w:hint="default" w:ascii="Times New Roman" w:hAnsi="Times New Roman" w:eastAsia="Times New Roman" w:cs="Times New Roman"/>
          <w:b w:val="0"/>
          <w:bCs w:val="0"/>
          <w:color w:val="000000"/>
          <w:sz w:val="24"/>
          <w:szCs w:val="24"/>
        </w:rPr>
        <w:t>related to the weakened negative feedback inhibition</w:t>
      </w:r>
      <w:r>
        <w:rPr>
          <w:rFonts w:hint="default" w:ascii="Times New Roman" w:hAnsi="Times New Roman" w:eastAsia="Times New Roman" w:cs="Times New Roman"/>
          <w:b w:val="0"/>
          <w:bCs w:val="0"/>
          <w:sz w:val="24"/>
          <w:szCs w:val="24"/>
        </w:rPr>
        <w:t xml:space="preserve"> of FGF19 on hepatic C4 synthesis</w:t>
      </w:r>
      <w:r>
        <w:rPr>
          <w:rFonts w:hint="default" w:ascii="Times New Roman" w:hAnsi="Times New Roman" w:eastAsia="Times New Roman" w:cs="Times New Roman"/>
          <w:b w:val="0"/>
          <w:bCs w:val="0"/>
          <w:color w:val="000000"/>
          <w:sz w:val="24"/>
          <w:szCs w:val="24"/>
        </w:rPr>
        <w:t>. Most studies have reported that FGF19 levels are significantly decreased in patients with BAD</w:t>
      </w:r>
      <w:r>
        <w:rPr>
          <w:rFonts w:hint="eastAsia" w:ascii="Times New Roman" w:hAnsi="Times New Roman" w:eastAsia="宋体" w:cs="Times New Roman"/>
          <w:b w:val="0"/>
          <w:bCs w:val="0"/>
          <w:color w:val="000000"/>
          <w:sz w:val="24"/>
          <w:szCs w:val="24"/>
          <w:lang w:val="en-US" w:eastAsia="zh-CN"/>
        </w:rPr>
        <w:t xml:space="preserve">,which is </w:t>
      </w:r>
      <w:r>
        <w:rPr>
          <w:rFonts w:hint="default" w:ascii="Times New Roman" w:hAnsi="Times New Roman" w:eastAsia="Times New Roman" w:cs="Times New Roman"/>
          <w:b w:val="0"/>
          <w:bCs w:val="0"/>
          <w:color w:val="000000"/>
          <w:sz w:val="24"/>
          <w:szCs w:val="24"/>
        </w:rPr>
        <w:t>consistent with the findings of this study</w:t>
      </w:r>
      <w:r>
        <w:rPr>
          <w:rFonts w:hint="default" w:ascii="Times New Roman" w:hAnsi="Times New Roman" w:eastAsia="Times New Roman" w:cs="Times New Roman"/>
          <w:b w:val="0"/>
          <w:bCs w:val="0"/>
          <w:kern w:val="0"/>
          <w:sz w:val="24"/>
          <w:szCs w:val="24"/>
          <w:vertAlign w:val="superscript"/>
        </w:rPr>
        <w:t>[14,22]</w:t>
      </w:r>
      <w:r>
        <w:rPr>
          <w:rFonts w:hint="default" w:ascii="Times New Roman" w:hAnsi="Times New Roman" w:eastAsia="Times New Roman" w:cs="Times New Roman"/>
          <w:b w:val="0"/>
          <w:bCs w:val="0"/>
          <w:color w:val="000000"/>
          <w:sz w:val="24"/>
          <w:szCs w:val="24"/>
        </w:rPr>
        <w:t xml:space="preserve">.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ROC curve analysis further showed that the area under the curve of serum FGF19</w:t>
      </w:r>
      <w:r>
        <w:rPr>
          <w:rFonts w:hint="default" w:ascii="Times New Roman" w:hAnsi="Times New Roman" w:eastAsia="Times New Roman" w:cs="Times New Roman"/>
          <w:b w:val="0"/>
          <w:bCs w:val="0"/>
          <w:i w:val="0"/>
          <w:iCs w:val="0"/>
          <w:color w:val="000000" w:themeColor="text1"/>
          <w:sz w:val="24"/>
          <w:szCs w:val="24"/>
          <w14:textFill>
            <w14:solidFill>
              <w14:schemeClr w14:val="tx1"/>
            </w14:solidFill>
          </w14:textFill>
        </w:rPr>
        <w:t xml:space="preserve"> for the diagnosis of BAD was 0.834</w:t>
      </w:r>
      <w:r>
        <w:rPr>
          <w:rFonts w:hint="default" w:ascii="Times New Roman" w:hAnsi="Times New Roman" w:eastAsia="Times New Roman" w:cs="Times New Roman"/>
          <w:b w:val="0"/>
          <w:bCs w:val="0"/>
          <w:i/>
          <w:iCs/>
          <w:color w:val="000000" w:themeColor="text1"/>
          <w:sz w:val="24"/>
          <w:szCs w:val="24"/>
          <w14:textFill>
            <w14:solidFill>
              <w14:schemeClr w14:val="tx1"/>
            </w14:solidFill>
          </w14:textFill>
        </w:rPr>
        <w:t xml:space="preserve"> (95%CI: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 xml:space="preserve">0.727-0.941), which had good discrimination ability. </w:t>
      </w:r>
      <w:r>
        <w:rPr>
          <w:rFonts w:hint="default" w:ascii="Times New Roman" w:hAnsi="Times New Roman" w:eastAsia="Times New Roman" w:cs="Times New Roman"/>
          <w:b w:val="0"/>
          <w:bCs w:val="0"/>
          <w:sz w:val="24"/>
          <w:szCs w:val="24"/>
        </w:rPr>
        <w:t>Finally, the Bristol stool type was found to be significantly associated with BAD (P&lt; 0.001)</w:t>
      </w:r>
      <w:r>
        <w:rPr>
          <w:rFonts w:hint="default" w:ascii="Times New Roman" w:hAnsi="Times New Roman" w:eastAsia="Times New Roman" w:cs="Times New Roman"/>
          <w:b w:val="0"/>
          <w:bCs w:val="0"/>
          <w:color w:val="000000"/>
          <w:sz w:val="24"/>
          <w:szCs w:val="24"/>
        </w:rPr>
        <w:t xml:space="preserve">. </w:t>
      </w:r>
      <w:r>
        <w:rPr>
          <w:rFonts w:hint="default" w:ascii="Times New Roman" w:hAnsi="Times New Roman" w:eastAsia="Times New Roman" w:cs="Times New Roman"/>
          <w:b w:val="0"/>
          <w:bCs w:val="0"/>
          <w:sz w:val="24"/>
          <w:szCs w:val="24"/>
        </w:rPr>
        <w:t>The study by Borup et al. also showed that fecal consistency was helpful for the diagnosis of BAD when 75SeHCAT retention test was used as the diagnostic standard, which further supported the conclusion</w:t>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ADDIN ZOTERO_ITEM CSL_CITATION {"citationID":"3JiybvPS","properties":{"formattedCitation":"\\super [23]\\nosupersub{}","plainCitation":"[23]","noteIndex":0},"citationItems":[{"id":108,"uris":["http://zotero.org/users/17452529/items/BE8E6PZG"],"itemData":{"id":108,"type":"article-journal","abstract":"Background: Bile acid diarrhoea is often missed because gold standard nuclear medicine tauroselcholic [75-Se] acid (SeHCAT) testing has limited availability. Empirical treatment effect has unknown diagnostic performance, whereas plasma 7α-hydroxy4-cholesten-3-one (C4) is inexpensive but lacks sensitivity.","container-title":"Alimentary Pharmacology &amp; Therapeutics","DOI":"10.1111/apt.17739","ISSN":"0269-2813, 1365-2036","issue":"1","journalAbbreviation":"Aliment Pharmacol Ther","language":"en","page":"39-50","source":"DOI.org (Crossref)","title":"Prospective comparison of diagnostic tests for bile acid diarrhoea","volume":"59","author":[{"family":"Borup","given":"Christian"},{"family":"Vinter‐Jensen","given":"Lars"},{"family":"Jørgensen","given":"Søren Peter German"},{"family":"Wildt","given":"Signe"},{"family":"Graff","given":"Jesper"},{"family":"Gregersen","given":"Tine"},{"family":"Zaremba","given":"Anna"},{"family":"Andersen","given":"Trine Borup"},{"family":"Nøjgaard","given":"Camilla"},{"family":"Timm","given":"Hans Bording"},{"family":"Lamazière","given":"Antonin"},{"family":"Rainteau","given":"Dominique"},{"family":"Hansen","given":"Svend Høime"},{"family":"Rumessen","given":"Jüri Johannes"},{"family":"Munck","given":"Lars Kristian"}],"issued":{"date-parts":[["2024",1]]}}}],"schema":"https://github.com/citation-style-language/schema/raw/master/csl-citation.json"} </w:instrText>
      </w:r>
      <w:r>
        <w:rPr>
          <w:rFonts w:hint="default" w:ascii="Times New Roman" w:hAnsi="Times New Roman" w:eastAsia="宋体" w:cs="Times New Roman"/>
          <w:b w:val="0"/>
          <w:bCs w:val="0"/>
          <w:sz w:val="24"/>
          <w:szCs w:val="24"/>
        </w:rPr>
        <w:fldChar w:fldCharType="separate"/>
      </w:r>
      <w:r>
        <w:rPr>
          <w:rFonts w:hint="default" w:ascii="Times New Roman" w:hAnsi="Times New Roman" w:eastAsia="Times New Roman" w:cs="Times New Roman"/>
          <w:b w:val="0"/>
          <w:bCs w:val="0"/>
          <w:sz w:val="24"/>
          <w:szCs w:val="24"/>
        </w:rPr>
        <w:t xml:space="preserve"> of this study</w:t>
      </w:r>
      <w:r>
        <w:rPr>
          <w:rFonts w:hint="default" w:ascii="Times New Roman" w:hAnsi="Times New Roman" w:eastAsia="宋体" w:cs="Times New Roman"/>
          <w:b w:val="0"/>
          <w:bCs w:val="0"/>
          <w:sz w:val="24"/>
          <w:szCs w:val="24"/>
        </w:rPr>
        <w:fldChar w:fldCharType="end"/>
      </w:r>
      <w:r>
        <w:rPr>
          <w:rFonts w:hint="default" w:ascii="Times New Roman" w:hAnsi="Times New Roman" w:eastAsia="Times New Roman" w:cs="Times New Roman"/>
          <w:b w:val="0"/>
          <w:bCs w:val="0"/>
          <w:kern w:val="0"/>
          <w:sz w:val="24"/>
          <w:szCs w:val="24"/>
          <w:vertAlign w:val="superscript"/>
        </w:rPr>
        <w:t>[23]</w:t>
      </w:r>
      <w:r>
        <w:rPr>
          <w:rFonts w:hint="default" w:ascii="Times New Roman" w:hAnsi="Times New Roman" w:eastAsia="Times New Roman" w:cs="Times New Roman"/>
          <w:b w:val="0"/>
          <w:bCs w:val="0"/>
          <w:sz w:val="24"/>
          <w:szCs w:val="24"/>
        </w:rPr>
        <w:t>.</w:t>
      </w:r>
    </w:p>
    <w:p w14:paraId="2A37C319">
      <w:pPr>
        <w:ind w:firstLine="480"/>
        <w:rPr>
          <w:rFonts w:hint="default" w:ascii="Times New Roman" w:hAnsi="Times New Roman" w:eastAsia="宋体" w:cs="Times New Roman"/>
          <w:b w:val="0"/>
          <w:bCs w:val="0"/>
          <w:color w:val="000000" w:themeColor="text1"/>
          <w:sz w:val="24"/>
          <w:szCs w:val="24"/>
          <w14:textFill>
            <w14:solidFill>
              <w14:schemeClr w14:val="tx1"/>
            </w14:solidFill>
          </w14:textFill>
        </w:rPr>
      </w:pPr>
      <w:r>
        <w:rPr>
          <w:rFonts w:hint="default" w:ascii="Times New Roman" w:hAnsi="Times New Roman" w:eastAsia="Times New Roman" w:cs="Times New Roman"/>
          <w:b w:val="0"/>
          <w:bCs w:val="0"/>
          <w:sz w:val="24"/>
          <w:szCs w:val="24"/>
        </w:rPr>
        <w:t xml:space="preserve">Serum FGF19, Bristol stool type, and fecal bile acid after a fat meal were identified as independent predictors of BAD by multivariate Logistic regression analysis.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The prediction model based on these three factors significantly improved the diagnostic performance of BAD, with an area under the ROC curve of 0.97 (</w:t>
      </w:r>
      <w:r>
        <w:rPr>
          <w:rFonts w:hint="default" w:ascii="Times New Roman" w:hAnsi="Times New Roman" w:eastAsia="Times New Roman" w:cs="Times New Roman"/>
          <w:b w:val="0"/>
          <w:bCs w:val="0"/>
          <w:i/>
          <w:iCs/>
          <w:color w:val="000000" w:themeColor="text1"/>
          <w:sz w:val="24"/>
          <w:szCs w:val="24"/>
          <w14:textFill>
            <w14:solidFill>
              <w14:schemeClr w14:val="tx1"/>
            </w14:solidFill>
          </w14:textFill>
        </w:rPr>
        <w:t>95%CI</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 0.94-1.00), The diagnostic performance of this model is better than that of the machine learning model established by Saam Dilmaghani et</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 xml:space="preserve"> </w:t>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al</w:t>
      </w:r>
      <w:r>
        <w:rPr>
          <w:rFonts w:hint="default" w:ascii="Times New Roman" w:hAnsi="Times New Roman" w:eastAsia="宋体" w:cs="Times New Roman"/>
          <w:b w:val="0"/>
          <w:bCs w:val="0"/>
          <w:color w:val="000000" w:themeColor="text1"/>
          <w:sz w:val="24"/>
          <w:szCs w:val="24"/>
          <w14:textFill>
            <w14:solidFill>
              <w14:schemeClr w14:val="tx1"/>
            </w14:solidFill>
          </w14:textFill>
        </w:rPr>
        <w:fldChar w:fldCharType="begin"/>
      </w:r>
      <w:r>
        <w:rPr>
          <w:rFonts w:hint="default" w:ascii="Times New Roman" w:hAnsi="Times New Roman" w:eastAsia="宋体" w:cs="Times New Roman"/>
          <w:b w:val="0"/>
          <w:bCs w:val="0"/>
          <w:color w:val="000000" w:themeColor="text1"/>
          <w:sz w:val="24"/>
          <w:szCs w:val="24"/>
          <w14:textFill>
            <w14:solidFill>
              <w14:schemeClr w14:val="tx1"/>
            </w14:solidFill>
          </w14:textFill>
        </w:rPr>
        <w:instrText xml:space="preserve"> ADDIN ZOTERO_ITEM CSL_CITATION {"citationID":"lG3wirbu","properties":{"formattedCitation":"\\super [24]\\nosupersub{}","plainCitation":"[24]","noteIndex":0},"citationItems":[{"id":112,"uris":["http://zotero.org/users/17452529/items/YQH4CG4I"],"itemData":{"id":112,"type":"article-journal","abstract":"BACKGROUND AND AIMS: Diagnosis of bile acid diarrhea (BAD) has been based on 48-hour fecal BA excretion; serum 7aC4 (C4) has been used to screen for BAD. Optimal diagnostic cutoffs for C4 and biochemical measurements in a single stool sample are unknown. We sought to examine the relationship between total BA concentration (TBAc) and percent primary BA (%PBA) in a single stool sample and serum C4 in patients with and without BAD and explore performance characteristics of stool consistency and biochemical (serum C4 and single-stool BA) parameters for diagnosis of BAD compared with gold standard 48-hour fecal BA.\nMETHODS: Based on data from patients with BAD, irritable bowel syndrome with diarrhea (IBS-D), and healthy control subjects, we assessed correlations among stool and serum measurements. Machine learning models (based on data from 30 patients with BAD, 8 patients with IBS-D, and 26 healthy control subjects) were trained on 25 bootstrapped random samples, the superior model was identiﬁed, and optimal cutoffs of biological measurements to diagnose BAD were summarized.\nRESULTS: There were correlations between serum C4 and %PBA (R [ 0.284, P &lt; .001), and between % PBA and TBAc (R [ 0.49, P &lt; .001). Using a %PBA of 1.05% (25th percentile in BAD), the %PBA distinguished BAD from IBS-D (odds ratio, 3.06; 95% conﬁdence interval, 1.35–7.46; P ¼ .01). The multivariate logistic regression model had superior balance of variance and bias. Optimal cutoffs for predicting BAD using logistic regression were 4.5% PBA (P ¼ .023) and 1.88 mmol/g TBAc (P ¼ .016). Serum C4 &gt;24 ng/mL and PBA &gt;4.6% individually had 57% and 75.8% positive predictive value, respectively, but together had a 90.1% positive predictive value. Stool consistency was less informative.\nCONCLUSIONS: New diagnostic cutoffs based on serum C4 and single-stool TBAc and % PBA provide potential alternatives for diagnosing BAD. Further validation is warranted.","container-title":"Clinical Gastroenterology and Hepatology","DOI":"10.1016/j.cgh.2025.02.031","ISSN":"15423565","journalAbbreviation":"Clinical Gastroenterology and Hepatology","language":"en","page":"S1542356525004136","source":"DOI.org (Crossref)","title":"Simplifying Diagnosis of Bile Acid Diarrhea With Clinical and Biochemical Measurements on Blood and Single Stool Sample","author":[{"family":"Dilmaghani","given":"Saam"},{"family":"Lupianez-Merly","given":"Camille"},{"family":"BouSaba","given":"Joelle"},{"family":"Vijayvargiya","given":"Priya"},{"family":"Busciglio","given":"Irene"},{"family":"Ferber","given":"Monique"},{"family":"Carlson","given":"Paula"},{"family":"Donato","given":"Leslie J."},{"family":"Camilleri","given":"Michael"}],"issued":{"date-parts":[["2025",5]]}}}],"schema":"https://github.com/citation-style-language/schema/raw/master/csl-citation.json"} </w:instrText>
      </w:r>
      <w:r>
        <w:rPr>
          <w:rFonts w:hint="default" w:ascii="Times New Roman" w:hAnsi="Times New Roman" w:eastAsia="宋体" w:cs="Times New Roman"/>
          <w:b w:val="0"/>
          <w:bCs w:val="0"/>
          <w:color w:val="000000" w:themeColor="text1"/>
          <w:sz w:val="24"/>
          <w:szCs w:val="24"/>
          <w14:textFill>
            <w14:solidFill>
              <w14:schemeClr w14:val="tx1"/>
            </w14:solidFill>
          </w14:textFill>
        </w:rPr>
        <w:fldChar w:fldCharType="separate"/>
      </w:r>
      <w:r>
        <w:rPr>
          <w:rFonts w:hint="default" w:ascii="Times New Roman" w:hAnsi="Times New Roman" w:eastAsia="Times New Roman" w:cs="Times New Roman"/>
          <w:b w:val="0"/>
          <w:bCs w:val="0"/>
          <w:color w:val="000000" w:themeColor="text1"/>
          <w:kern w:val="0"/>
          <w:sz w:val="24"/>
          <w:szCs w:val="24"/>
          <w:vertAlign w:val="superscript"/>
          <w14:textFill>
            <w14:solidFill>
              <w14:schemeClr w14:val="tx1"/>
            </w14:solidFill>
          </w14:textFill>
        </w:rPr>
        <w:t>[24]</w:t>
      </w:r>
      <w:r>
        <w:rPr>
          <w:rFonts w:hint="default" w:ascii="Times New Roman" w:hAnsi="Times New Roman" w:eastAsia="宋体" w:cs="Times New Roman"/>
          <w:b w:val="0"/>
          <w:bCs w:val="0"/>
          <w:color w:val="000000" w:themeColor="text1"/>
          <w:sz w:val="24"/>
          <w:szCs w:val="24"/>
          <w14:textFill>
            <w14:solidFill>
              <w14:schemeClr w14:val="tx1"/>
            </w14:solidFill>
          </w14:textFill>
        </w:rPr>
        <w:fldChar w:fldCharType="end"/>
      </w:r>
      <w:r>
        <w:rPr>
          <w:rFonts w:hint="default" w:ascii="Times New Roman" w:hAnsi="Times New Roman" w:eastAsia="Times New Roman" w:cs="Times New Roman"/>
          <w:b w:val="0"/>
          <w:bCs w:val="0"/>
          <w:color w:val="000000" w:themeColor="text1"/>
          <w:sz w:val="24"/>
          <w:szCs w:val="24"/>
          <w14:textFill>
            <w14:solidFill>
              <w14:schemeClr w14:val="tx1"/>
            </w14:solidFill>
          </w14:textFill>
        </w:rPr>
        <w:t xml:space="preserve"> (including serum C4, single-stool %PBA, single-stool BA, concentration, and average BSFS). This may be due to the fact that for the first time, fecal bile acids after a fat meal were introduced as a predictor variable instead of randomly sampling fecal bile acids. In addition, the model still maintained good discrimination power in the validation cohort, and the calibration curve showed that the predicted probability was in good agreement with the actual probability.</w:t>
      </w:r>
    </w:p>
    <w:p w14:paraId="66C2EDF3">
      <w:pPr>
        <w:ind w:firstLine="480" w:firstLineChars="200"/>
        <w:rPr>
          <w:rFonts w:hint="default" w:ascii="Times New Roman" w:hAnsi="Times New Roman" w:cs="Times New Roman"/>
          <w:b w:val="0"/>
          <w:bCs w:val="0"/>
          <w:sz w:val="24"/>
          <w:szCs w:val="24"/>
        </w:rPr>
      </w:pPr>
      <w:r>
        <w:rPr>
          <w:rFonts w:hint="default" w:ascii="Times New Roman" w:hAnsi="Times New Roman" w:eastAsia="Times New Roman" w:cs="Times New Roman"/>
          <w:b w:val="0"/>
          <w:bCs w:val="0"/>
          <w:sz w:val="24"/>
          <w:szCs w:val="24"/>
        </w:rPr>
        <w:t>This study, for the first time, confirmed through the detection of fecal bile acids after a fat meal intervention that standardized dietary loading can effectively enhance the clinical applicability and diagnostic value of this indicator in the diagnosis of bile acid diarrhea (BAD). On this basis, this study constructed a diagnostic model including fecal bile acids after a fat meal, serum FGF19, and Bristol stool form classification, further improving the ability to identify BAD.</w:t>
      </w:r>
    </w:p>
    <w:p w14:paraId="38446E59">
      <w:pPr>
        <w:ind w:firstLine="480" w:firstLineChars="200"/>
        <w:rPr>
          <w:rFonts w:hint="default" w:ascii="Times New Roman" w:hAnsi="Times New Roman" w:eastAsia="宋体" w:cs="Times New Roman"/>
          <w:b w:val="0"/>
          <w:bCs w:val="0"/>
          <w:sz w:val="24"/>
          <w:szCs w:val="24"/>
        </w:rPr>
      </w:pPr>
      <w:r>
        <w:rPr>
          <w:rFonts w:hint="default" w:ascii="Times New Roman" w:hAnsi="Times New Roman" w:eastAsia="Times New Roman" w:cs="Times New Roman"/>
          <w:b w:val="0"/>
          <w:bCs w:val="0"/>
          <w:sz w:val="24"/>
          <w:szCs w:val="24"/>
        </w:rPr>
        <w:t>This study has certain limitations. Firstly, due to the limited conditions, serum C4 was used as the diagnostic standard for bile acid diarrhea, which was not directly compared with the gold standard SeHCAT scan. Second, the sample size is limited, and the standardized protocol of fat meal intervention needs to be further verified in a larger population.</w:t>
      </w:r>
    </w:p>
    <w:p w14:paraId="344A2520">
      <w:pPr>
        <w:ind w:firstLine="480" w:firstLineChars="200"/>
        <w:rPr>
          <w:rFonts w:hint="default" w:ascii="Times New Roman" w:hAnsi="Times New Roman" w:eastAsia="宋体" w:cs="Times New Roman"/>
          <w:b w:val="0"/>
          <w:bCs w:val="0"/>
          <w:sz w:val="24"/>
          <w:szCs w:val="24"/>
        </w:rPr>
      </w:pPr>
    </w:p>
    <w:p w14:paraId="1B7EF978">
      <w:pPr>
        <w:rPr>
          <w:rFonts w:hint="default" w:ascii="Times New Roman" w:hAnsi="Times New Roman" w:eastAsia="宋体" w:cs="Times New Roman"/>
          <w:b/>
          <w:bCs/>
          <w:sz w:val="24"/>
          <w:szCs w:val="24"/>
        </w:rPr>
      </w:pPr>
      <w:r>
        <w:rPr>
          <w:rFonts w:hint="default" w:ascii="Times New Roman" w:hAnsi="Times New Roman" w:eastAsia="Times New Roman" w:cs="Times New Roman"/>
          <w:b/>
          <w:bCs/>
          <w:sz w:val="24"/>
          <w:szCs w:val="24"/>
        </w:rPr>
        <w:t>Conclusions:</w:t>
      </w:r>
    </w:p>
    <w:p w14:paraId="2189F79F">
      <w:pPr>
        <w:ind w:firstLine="480" w:firstLineChars="200"/>
        <w:rPr>
          <w:rFonts w:hint="default" w:ascii="Times New Roman" w:hAnsi="Times New Roman" w:eastAsia="宋体" w:cs="Times New Roman"/>
          <w:sz w:val="24"/>
          <w:szCs w:val="24"/>
        </w:rPr>
      </w:pPr>
      <w:r>
        <w:rPr>
          <w:rFonts w:hint="default" w:ascii="Times New Roman" w:hAnsi="Times New Roman" w:eastAsia="Times New Roman" w:cs="Times New Roman"/>
          <w:b w:val="0"/>
          <w:bCs w:val="0"/>
          <w:sz w:val="24"/>
          <w:szCs w:val="24"/>
        </w:rPr>
        <w:t>At present, the clinical diagnosis of BAD is still lack of simple and reliable detection methods. This study for the first time proposed the important value of fecal bile acids after a fat meal in the diagnosis of BAD and confirmed it as an independent predictor. The diagnostic model of BAD based on fasting serum and a single fecal sample is easy to operate, which provides a new idea for the clinical identification of BAD. Future research directions include exploring the effects of different fat loads on the detection performance, and establishing multi-parameter prediction models based on artificial intelligence to further optimize the diagnostic strategy</w:t>
      </w:r>
      <w:r>
        <w:rPr>
          <w:rFonts w:hint="default" w:ascii="Times New Roman" w:hAnsi="Times New Roman" w:eastAsia="Times New Roman" w:cs="Times New Roman"/>
          <w:sz w:val="24"/>
          <w:szCs w:val="24"/>
        </w:rPr>
        <w:t>.</w:t>
      </w:r>
    </w:p>
    <w:p w14:paraId="44ED659B">
      <w:pPr>
        <w:ind w:firstLine="480" w:firstLineChars="200"/>
        <w:rPr>
          <w:rFonts w:hint="default" w:ascii="Times New Roman" w:hAnsi="Times New Roman" w:eastAsia="宋体" w:cs="Times New Roman"/>
          <w:sz w:val="24"/>
          <w:szCs w:val="24"/>
        </w:rPr>
      </w:pPr>
    </w:p>
    <w:p w14:paraId="625FB2CA">
      <w:pPr>
        <w:rPr>
          <w:rFonts w:hint="default" w:ascii="Times New Roman" w:hAnsi="Times New Roman" w:eastAsia="宋体" w:cs="Times New Roman"/>
          <w:sz w:val="24"/>
          <w:szCs w:val="24"/>
        </w:rPr>
      </w:pPr>
      <w:r>
        <w:rPr>
          <w:rFonts w:hint="default" w:ascii="Times New Roman" w:hAnsi="Times New Roman" w:eastAsia="Times New Roman" w:cs="Times New Roman"/>
          <w:sz w:val="24"/>
          <w:szCs w:val="24"/>
        </w:rPr>
        <w:t>References</w:t>
      </w:r>
    </w:p>
    <w:p w14:paraId="0C5AD42A">
      <w:pPr>
        <w:rPr>
          <w:rFonts w:hint="default" w:ascii="Times New Roman" w:hAnsi="Times New Roman" w:eastAsia="宋体" w:cs="Times New Roman"/>
          <w:sz w:val="24"/>
          <w:szCs w:val="24"/>
        </w:rPr>
      </w:pPr>
    </w:p>
    <w:p w14:paraId="04BC664A">
      <w:pPr>
        <w:pStyle w:val="24"/>
        <w:rPr>
          <w:rFonts w:hint="default" w:ascii="Times New Roman" w:hAnsi="Times New Roman" w:cs="Times New Roman"/>
          <w:sz w:val="24"/>
          <w:szCs w:val="24"/>
        </w:rPr>
      </w:pPr>
      <w:r>
        <w:rPr>
          <w:rFonts w:hint="default" w:ascii="Times New Roman" w:hAnsi="Times New Roman" w:eastAsia="宋体" w:cs="Times New Roman"/>
          <w:color w:val="000000"/>
          <w:sz w:val="24"/>
          <w:szCs w:val="24"/>
        </w:rPr>
        <w:fldChar w:fldCharType="begin"/>
      </w:r>
      <w:r>
        <w:rPr>
          <w:rFonts w:hint="default" w:ascii="Times New Roman" w:hAnsi="Times New Roman" w:eastAsia="宋体" w:cs="Times New Roman"/>
          <w:color w:val="000000"/>
          <w:sz w:val="24"/>
          <w:szCs w:val="24"/>
        </w:rPr>
        <w:instrText xml:space="preserve"> ADDIN ZOTERO_BIBL {"uncited":[],"omitted":[],"custom":[]} CSL_BIBLIOGRAPHY </w:instrText>
      </w:r>
      <w:r>
        <w:rPr>
          <w:rFonts w:hint="default" w:ascii="Times New Roman" w:hAnsi="Times New Roman" w:eastAsia="宋体" w:cs="Times New Roman"/>
          <w:color w:val="000000"/>
          <w:sz w:val="24"/>
          <w:szCs w:val="24"/>
        </w:rPr>
        <w:fldChar w:fldCharType="separate"/>
      </w:r>
      <w:r>
        <w:rPr>
          <w:rFonts w:hint="default" w:ascii="Times New Roman" w:hAnsi="Times New Roman" w:eastAsia="Times New Roman" w:cs="Times New Roman"/>
          <w:sz w:val="24"/>
          <w:szCs w:val="24"/>
        </w:rPr>
        <w:t>[1]</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VIJAYVARGIYA P, CAMILLERI M. Current Practice in the Diagnosis of Bile Acid Diarrhea[J/OL]. Gastroenterology, 2019, 156 (5) : 1233-1238. The DOI: 10.1053 / j.g astro. 2018.11.069.</w:t>
      </w:r>
    </w:p>
    <w:p w14:paraId="4AACEA6A">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LUPIANEZ-MERLY C, DILMAGHANI S, CAMILLERI M. Recent developments in diagnosing bile acid diarrhea[J/OL]. Expert Review of Gastroenterology &amp; Hepatology, 2023, 17 (12) : 1185-1195. The DOI: 10.1080/17474124.2023.2293814.</w:t>
      </w:r>
    </w:p>
    <w:p w14:paraId="66A9D3ED">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[3]</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BOUSABA J, SANNAA W, MCKINZIE S, et al. Impact of Bile Acid Diarrhea in Patients With Diarrhea-Predominant Irritable Bowel Syndrome on Symptoms and Quality of Life [J/OL]. Clinical Gastroenterology and Hepatology, 2022, 20 (9) : 2083-2090. The e1, DOI: 10.1016 / j.c. gh 2021.11.035.</w:t>
      </w:r>
    </w:p>
    <w:p w14:paraId="1C3408C3">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[4]</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Characterizing Factors Associated With Differences in FGF19 Blood Levels and Synthesis in Patients With Primary Bile Acid Diarrhea - PubMed[EB/OL]. [2025-10-19]. https://pubmed.ncbi.nlm.nih.gov/26856750/.</w:t>
      </w:r>
    </w:p>
    <w:p w14:paraId="1340D644">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[5]</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CAMILLERI M. Bile Acid Diarrhea: Prevalence, Pathogenesis, and Therapy[J/OL]. Gut and Liver, 2015, 9 (3) [2025-04-12]. HTTP: / / http://www.gutnliver.org/journal/view.html?doi=10.5009/gnl14397. DOI: 10.5009 / gnl14397.</w:t>
      </w:r>
    </w:p>
    <w:p w14:paraId="3968B5BC">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[6]</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SCHILLER L R. Good News about BAD[J/OL]. Clinical Gastroenterology and Hepatology, 2020, 18(1): 45 to 47. DOI: 10.1016 / j.c. gh 2019.10.031.</w:t>
      </w:r>
    </w:p>
    <w:p w14:paraId="0110CEA2">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[7]</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VIJAYVARGIYA P, GONZALEZ IZUNDEGUI D, CALDERON G, et al. Increased Fecal Bile Acid Excretion in a Significant Subset of Patients with Other Inflammatory Diarrheal Diseases[J/OL]. Digestive Diseases and Sciences, 2022, 67(6): 2413-2419.DOI :10.1007/s10620-021-06993-5.</w:t>
      </w:r>
    </w:p>
    <w:p w14:paraId="7CD3CE73">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[8]</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BARBARA G, BELLINI M, PORTINCASA P, et al. Bile acid diarrhea in patients with chronic diarrhea. Current appraisal and recommendations for clinical practice[J/OL]. Digestive and Liver diseases, 2025, 57 (3) : 680-687. The DOI: 10.1016 / j. ld 2024.12.019.</w:t>
      </w:r>
    </w:p>
    <w:p w14:paraId="64A41B6B">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[9]</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SADOWSKI D C, CAMILLERI M, CHEY W D, et al. Canadian Association of Gastroenterology Clinical Practice Guideline on the Management of Bile Acid Diarrhea[J/OL]. Clinical Gastroenterology and Hepatology, 2020, 18 (1) : 24-41. E1. DOI: 10.1016 / j.c. gh 2019.08.062.</w:t>
      </w:r>
    </w:p>
    <w:p w14:paraId="06BCD72E">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[10]</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CAMILLERI M, SHIN A, BUSCIGLIO I, et al. Validating biomarkers of treatable mechanisms in irritable bowel syndrome[J/OL]. Neurogastroenterology and Motility, 2014, 26(12): 1677-1685. DOI:10.1111/nmo.12421.</w:t>
      </w:r>
    </w:p>
    <w:p w14:paraId="1597A421">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[11]</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Bowel functions, fecal unconjugated primary and secondary bile acids, and colonic transit in patients with irritable bowel syndrome - PubMed[EB/OL]. [2025-04-27]. https://pubmed.ncbi.nlm.nih.gov/23639599/.</w:t>
      </w:r>
    </w:p>
    <w:p w14:paraId="7580441A">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[12]</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DI CIAULA A, BONFRATE L, BAJ J, et al. Recent Advances in the Digestive, Metabolic and Therapeutic Effects of Farnesoid X Receptor and Fibroblast Growth Factor 19: From Cholesterol to Bile Acid Signaling[J/OL]. Nutrients, 2022, 14(23): 4950. DOI:10.3390/nu14234950.</w:t>
      </w:r>
    </w:p>
    <w:p w14:paraId="54C18989">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[13]</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PATTNI S, WALTERS J R F. Recent advances in the understanding of bile acid malabsorption[J/OL]. British Medical Bulletin, 2009, 92(1): 79-93. DOI:10.1093/bmb/ldp032.</w:t>
      </w:r>
    </w:p>
    <w:p w14:paraId="1FC642C9">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[14]</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VIJAYVARGIYA P, CAMILLERI M, CARLSON P, et al. Performance characteristics of serum C4 and FGF19 measurements to exclude the diagnosis of bile acid diarrhoea in IBS-diarrhoea and functional diarrhoea[J/OL]. Alimentary Pharmacology &amp; Therapeutics, 2017, 46(6): 581-588. DOI:10.1111/apt.14214.</w:t>
      </w:r>
    </w:p>
    <w:p w14:paraId="13FCCFB8">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[15]</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RIEMSMA R, AL M, CORRO RAMOS I, et al. SeHCAT [tauroselcholic (selenium-75) acid] for the investigation of bile acid malabsorption and measurement of bile acid  pool loss: a systematic review and cost-effectiveness analysis[J/OL]. Health Technology Assessment (Winchester, England), 2013, 17(61): 1-236. DOI:10.3310/hta17610.</w:t>
      </w:r>
    </w:p>
    <w:p w14:paraId="64B9903F">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[16]</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KUMAR A, Al-Hassi H O, JAIN M, et AL. A single faecal bile acid stool test demonstrates potential efficacy in replacing SeHCAT testing for bile acid diarrhoea in selected patients[J/OL]. Scientific Reports, 2022, 12(1): 8313. DOI:10.1038/s41598-022-12003-z.</w:t>
      </w:r>
    </w:p>
    <w:p w14:paraId="3DDFA8E3">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[17]</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VIJAYVARGIYA P, CAMILLERI M, TAYLOR A, et al. Combined Fasting Serum C4 and Primary Bile Acids From a Single Stool Sample to Diagnose Bile Acid Diarrhea[J/OL]. Gastroenterology, 2020, 159 (5) : 1952-1954. E2. DOI: 10.1053 / j.g astro. 2020.07.001.</w:t>
      </w:r>
    </w:p>
    <w:p w14:paraId="485EEACD">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[18]</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JACKSON A, LALJI A, KABIR M, et al. The efficacy of a low-fat diet to manage the symptoms of bile acid malabsorption – outcomes in patients previously Treated for cancer [J/OL]. Clinical Medicine, 2017, 17 (5) : 412-418. The DOI: 10.7861 / clinmedicine. 17-5-412.</w:t>
      </w:r>
    </w:p>
    <w:p w14:paraId="7C62883F">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[19]</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Measurement of serum 7alpha-hydroxy-4-cholesten-3-one (or 7alphaC4), a surrogate test for bile acid malabsorption in health, ileal disease and irritable bowel syndrome using liquid chromatography-tandem mass spectrometry - PubMed[EB/OL]. [2025-04-28]. https://pubmed.ncbi.nlm.nih.gov/19368662/.</w:t>
      </w:r>
    </w:p>
    <w:p w14:paraId="6B11C78E">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[20]</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CAMILLERI M, BOUSABA J. New Developments in Bile Acid Diarrhea[J].</w:t>
      </w:r>
    </w:p>
    <w:p w14:paraId="2421775E">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[21]</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YANG D, LYU C, HE K, et al. Bile Acid Diarrhea: From Molecular Mechanisms to Clinical Diagnosis and Treatment in the Era of Precision Medicine[J/OL]. International Journal of Molecular Sciences, 2024, 25 (3) : 1544. DOI: 10.3390 / ijms25031544.</w:t>
      </w:r>
    </w:p>
    <w:p w14:paraId="32ED1077">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[22]</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VIJAYVARGIYA P, CAMILLERI M, CHEDID V, et al. Analysis of Fecal Primary Bile Acids Detects Increased Stool Weight and Colonic Transit in Patients With Chronic Functional Diarrhea[J/OL]. Clinical Gastroenterology and Hepatology, 2019, 17(5): 922-929. E2. DOI: 10.1016 / j.c. gh 2018.05.050.</w:t>
      </w:r>
    </w:p>
    <w:p w14:paraId="4B9D6B5D">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[23]</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BORUP C, VINTER‐JENSEN L, JØRGENSEN S P G, et al. Prospective comparison of diagnostic tests for bile acid diarrhoea[J/OL]. Alimentary Pharmacology &amp; Therapeutics, 2024, 59(1): 39-50. DOI:10.1111/apt.17739.</w:t>
      </w:r>
    </w:p>
    <w:p w14:paraId="712CA939">
      <w:pPr>
        <w:pStyle w:val="24"/>
        <w:rPr>
          <w:rFonts w:hint="default" w:ascii="Times New Roman" w:hAnsi="Times New Roman" w:cs="Times New Roman"/>
          <w:sz w:val="24"/>
          <w:szCs w:val="24"/>
        </w:rPr>
      </w:pPr>
      <w:r>
        <w:rPr>
          <w:rFonts w:hint="default" w:ascii="Times New Roman" w:hAnsi="Times New Roman" w:eastAsia="Times New Roman" w:cs="Times New Roman"/>
          <w:sz w:val="24"/>
          <w:szCs w:val="24"/>
        </w:rPr>
        <w:t>[24]</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DILMAGHANI S, LUPIANEZ-MERLY C, BOUSABA J, et al. Simplifying Diagnosis of Bile Acid Diarrhea With Clinical and Biochemical Measurements on Blood and Single Stool The Sample [J/OL]. Clinical Gastroenterology and Hepatology, 2025: S1542356525004136. DOI: 10.1016 / j.carol carroll gh. 2025.02.031.</w:t>
      </w:r>
    </w:p>
    <w:p w14:paraId="7141DB80">
      <w:r>
        <w:rPr>
          <w:rFonts w:hint="default" w:ascii="Times New Roman" w:hAnsi="Times New Roman" w:eastAsia="宋体" w:cs="Times New Roman"/>
          <w:color w:val="000000"/>
          <w:sz w:val="24"/>
          <w:szCs w:val="24"/>
        </w:rPr>
        <w:fldChar w:fldCharType="end"/>
      </w:r>
      <w:r>
        <w:rPr>
          <w:rFonts w:hAnsi="Times New Roman" w:eastAsia="Times New Roman" w:cs="Times New Roman"/>
        </w:rPr>
        <w:t xml:space="preserve"> </w:t>
      </w:r>
    </w:p>
    <w:p w14:paraId="068EBC82">
      <w:pPr>
        <w:ind w:left="420" w:hanging="420"/>
        <w:rPr>
          <w:rFonts w:ascii="Times New Roman" w:hAnsi="Times New Roman" w:eastAsia="宋体"/>
          <w:color w:val="000000"/>
        </w:rPr>
      </w:pPr>
    </w:p>
    <w:p w14:paraId="2CE27635">
      <w:pPr>
        <w:ind w:firstLine="480" w:firstLineChars="200"/>
        <w:rPr>
          <w:rFonts w:ascii="Times New Roman" w:hAnsi="Times New Roman"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Ref{0559EA5D-02A3-40F5-9E13-F07E4F988751}" w:val=" ADDIN NE.Ref.{0559EA5D-02A3-40F5-9E13-F07E4F988751}&lt;Citation&gt;&lt;Group&gt;&lt;References&gt;&lt;Item&gt;&lt;ID&gt;644&lt;/ID&gt;&lt;UID&gt;{B764AAEC-E460-4D70-99E2-72AEE2F58852}&lt;/UID&gt;&lt;Title&gt;Downregulation of Serum and Distal Ileum Fibroblast Growth Factor19 in Bile Acid  Diarrhoea Patients&lt;/Title&gt;&lt;Template&gt;Journal Article&lt;/Template&gt;&lt;Star&gt;0&lt;/Star&gt;&lt;Tag&gt;0&lt;/Tag&gt;&lt;Author&gt;Chang, C; Jiang, J; Sun, R; Wang, S; Chen, H&lt;/Author&gt;&lt;Year&gt;2022&lt;/Year&gt;&lt;Details&gt;&lt;_accession_num&gt;34041651&lt;/_accession_num&gt;&lt;_author_adr&gt;Nanjing Medical University, Nanjing, 211166, Jiangsu, People&amp;apos;s Republic of China.; Department of Gastroenterology, Nanjing Tongren Hospital, School of Medicine,  Southeast University, Nanjing, 211102, Jiangsu, People&amp;apos;s Republic of China.; School of Medicine, Southeast University, Nanjing, 210009, Jiangsu, People&amp;apos;s  Republic of China.; School of Medicine, Southeast University, Nanjing, 210009, Jiangsu, People&amp;apos;s  Republic of China.; Department of Gastroenterology, Nanjing Tongren Hospital, School of Medicine,  Southeast University, Nanjing, 211102, Jiangsu, People&amp;apos;s Republic of China.; Nanjing Medical University, Nanjing, 211166, Jiangsu, People&amp;apos;s Republic of China.  njchenhong66@163.com.; Department of Gastroenterology, Zhongda Hospital, School of Medicine, Southeast  University, Nanjing, 210009, Jiangsu, People&amp;apos;s Republic of China.  njchenhong66@163.com.&lt;/_author_adr&gt;&lt;_created&gt;65686947&lt;/_created&gt;&lt;_date&gt;2022-03-01&lt;/_date&gt;&lt;_date_display&gt;2022 Mar&lt;/_date_display&gt;&lt;_db_updated&gt;PubMed&lt;/_db_updated&gt;&lt;_doi&gt;10.1007/s10620-021-07042-x&lt;/_doi&gt;&lt;_impact_factor&gt;   3.199&lt;/_impact_factor&gt;&lt;_isbn&gt;1573-2568 (Electronic); 0163-2116 (Linking)&lt;/_isbn&gt;&lt;_issue&gt;3&lt;/_issue&gt;&lt;_journal&gt;Dig Dis Sci&lt;/_journal&gt;&lt;_keywords&gt;7a-hydroxy-4-cholesten-3-one; Bile acids; Chronic diarrhoea; Fibroblast growth factor19&lt;/_keywords&gt;&lt;_language&gt;eng&lt;/_language&gt;&lt;_modified&gt;65686947&lt;/_modified&gt;&lt;_ori_publication&gt;(c) 2021. The Author(s), under exclusive licence to Springer Science+Business _x000d__x000a_      Media, LLC, part of Springer Nature.&lt;/_ori_publication&gt;&lt;_pages&gt;872-879&lt;/_pages&gt;&lt;_subject_headings&gt;*Bile Acids and Salts; Diarrhea/etiology; Down-Regulation; *Fibroblast Growth Factors/metabolism; Fibroblasts/metabolism; Humans; Ileum/metabolism&lt;/_subject_headings&gt;&lt;_tertiary_title&gt;Digestive diseases and sciences&lt;/_tertiary_title&gt;&lt;_type_work&gt;Journal Article; Research Support, Non-U.S. Gov&amp;apos;t&lt;/_type_work&gt;&lt;_url&gt;http://www.ncbi.nlm.nih.gov/entrez/query.fcgi?cmd=Retrieve&amp;amp;db=pubmed&amp;amp;dopt=Abstract&amp;amp;list_uids=34041651&amp;amp;query_hl=1&lt;/_url&gt;&lt;_volume&gt;67&lt;/_volume&gt;&lt;/Details&gt;&lt;Extra&gt;&lt;DBUID&gt;{F96A950B-833F-4880-A151-76DA2D6A2879}&lt;/DBUID&gt;&lt;/Extra&gt;&lt;/Item&gt;&lt;/References&gt;&lt;/Group&gt;&lt;Group&gt;&lt;References&gt;&lt;Item&gt;&lt;ID&gt;671&lt;/ID&gt;&lt;UID&gt;{B50FA35C-CCA9-4FDE-918C-18DEFBD01518}&lt;/UID&gt;&lt;Title&gt;Downregulation of Serum and Distal Ileum Fibroblast Growth Factor19 in Bile Acid  Diarrhoea Patients&lt;/Title&gt;&lt;Template&gt;Journal Article&lt;/Template&gt;&lt;Star&gt;0&lt;/Star&gt;&lt;Tag&gt;0&lt;/Tag&gt;&lt;Author&gt;Chang, C; Jiang, J; Sun, R; Wang, S; Chen, H&lt;/Author&gt;&lt;Year&gt;2022&lt;/Year&gt;&lt;Details&gt;&lt;_doi&gt;10.1007/s10620-021-07042-x&lt;/_doi&gt;&lt;_created&gt;65853985&lt;/_created&gt;&lt;_modified&gt;65853985&lt;/_modified&gt;&lt;_url&gt;http://www.ncbi.nlm.nih.gov/entrez/query.fcgi?cmd=Retrieve&amp;amp;db=pubmed&amp;amp;dopt=Abstract&amp;amp;list_uids=34041651&amp;amp;query_hl=1&lt;/_url&gt;&lt;_journal&gt;Dig Dis Sci&lt;/_journal&gt;&lt;_volume&gt;67&lt;/_volume&gt;&lt;_issue&gt;3&lt;/_issue&gt;&lt;_pages&gt;872-879&lt;/_pages&gt;&lt;_tertiary_title&gt;Digestive diseases and sciences&lt;/_tertiary_title&gt;&lt;_date_display&gt;2022 Mar&lt;/_date_display&gt;&lt;_date&gt;64251360&lt;/_date&gt;&lt;_type_work&gt;Journal Article; Research Support, Non-U.S. Gov&amp;apos;t&lt;/_type_work&gt;&lt;_isbn&gt;1573-2568 (Electronic); 0163-2116 (Linking)&lt;/_isbn&gt;&lt;_ori_publication&gt;(c) 2021. The Author(s), under exclusive licence to Springer Science+Business _x000d__x000a_      Media, LLC, part of Springer Nature.&lt;/_ori_publication&gt;&lt;_accession_num&gt;34041651&lt;/_accession_num&gt;&lt;_keywords&gt;7a-hydroxy-4-cholesten-3-one; Bile acids; Chronic diarrhoea; Fibroblast growth factor19&lt;/_keywords&gt;&lt;_subject_headings&gt;*Bile Acids and Salts; Diarrhea/etiology; Down-Regulation; *Fibroblast Growth Factors/metabolism; Fibroblasts/metabolism; Humans; Ileum/metabolism&lt;/_subject_headings&gt;&lt;_author_adr&gt;Nanjing Medical University, Nanjing, 211166, Jiangsu, People&amp;apos;s Republic of China.; Department of Gastroenterology, Nanjing Tongren Hospital, School of Medicine,  Southeast University, Nanjing, 211102, Jiangsu, People&amp;apos;s Republic of China.; School of Medicine, Southeast University, Nanjing, 210009, Jiangsu, People&amp;apos;s  Republic of China.; School of Medicine, Southeast University, Nanjing, 210009, Jiangsu, People&amp;apos;s  Republic of China.; Department of Gastroenterology, Nanjing Tongren Hospital, School of Medicine,  Southeast University, Nanjing, 211102, Jiangsu, People&amp;apos;s Republic of China.; Nanjing Medical University, Nanjing, 211166, Jiangsu, People&amp;apos;s Republic of China.  njchenhong66@163.com.; Department of Gastroenterology, Zhongda Hospital, School of Medicine, Southeast  University, Nanjing, 210009, Jiangsu, People&amp;apos;s Republic of China.  njchenhong66@163.com.&lt;/_author_adr&gt;&lt;_language&gt;eng&lt;/_language&gt;&lt;_accessed&gt;65853985&lt;/_accessed&gt;&lt;_db_updated&gt;PubMed&lt;/_db_updated&gt;&lt;_impact_factor&gt;   3.199&lt;/_impact_factor&gt;&lt;/Details&gt;&lt;Extra&gt;&lt;DBUID&gt;{F96A950B-833F-4880-A151-76DA2D6A2879}&lt;/DBUID&gt;&lt;/Extra&gt;&lt;/Item&gt;&lt;/References&gt;&lt;/Group&gt;&lt;Group&gt;&lt;References&gt;&lt;Item&gt;&lt;ID&gt;672&lt;/ID&gt;&lt;UID&gt;{2B5D5FF9-56AF-4B49-B0D1-1ED90A161958}&lt;/UID&gt;&lt;Title&gt;考来维仑治疗胆汁酸性腹泻有效性和安全性的Meta分析&lt;/Title&gt;&lt;Template&gt;Journal Article&lt;/Template&gt;&lt;Star&gt;0&lt;/Star&gt;&lt;Tag&gt;0&lt;/Tag&gt;&lt;Author&gt;杨楠; 高洁; 刘娟; 黄蓉; 陈洪&lt;/Author&gt;&lt;Year&gt;2020&lt;/Year&gt;&lt;Details&gt;&lt;_language&gt;Chinese&lt;/_language&gt;&lt;_created&gt;65853985&lt;/_created&gt;&lt;_modified&gt;65853985&lt;/_modified&gt;&lt;_url&gt;https://kns.cnki.net/kcms2/article/abstract?v=52O9CKbg8L4c3GLXYcIgVF44pmxqsMQj1Jq435WA98ZYh9fnDH1UJoqhVPE4QCVDjGKi3ET9mJaDXrXTwX02nbevFOUIUcBQq0qnb2XQ3L36iqotWT2k-uw3O4wK91khlVndAeoXZhU61ghD5qQcdNvXb4nETgu41hkFAjNynfLuBHIHlDjUDEIUHaE2NdMrqODt_HdYI-I=&amp;amp;uniplatform=NZKPT&amp;amp;language=CHS&lt;/_url&gt;&lt;_journal&gt;东南大学学报(医学版)&lt;/_journal&gt;&lt;_volume&gt;39&lt;/_volume&gt;&lt;_issue&gt;06&lt;/_issue&gt;&lt;_pages&gt;806-811&lt;/_pages&gt;&lt;_isbn&gt;1671-6264&lt;/_isbn&gt;&lt;_keywords&gt;胆汁酸性腹泻;考来维仑;考来烯胺;Meta分析&lt;/_keywords&gt;&lt;_author_adr&gt;东南大学医学院;东南大学附属中大医院消化内科;&lt;/_author_adr&gt;&lt;_db_provider&gt;CNKI&lt;/_db_provider&gt;&lt;_accessed&gt;65853985&lt;/_accessed&gt;&lt;_db_updated&gt;CNKI - Reference&lt;/_db_updated&gt;&lt;_translated_author&gt;Yang, Nan;Gao, Jie;Liu, Juan;Huang, Rong;Chen, Hong&lt;/_translated_author&gt;&lt;/Details&gt;&lt;Extra&gt;&lt;DBUID&gt;{F96A950B-833F-4880-A151-76DA2D6A2879}&lt;/DBUID&gt;&lt;/Extra&gt;&lt;/Item&gt;&lt;/References&gt;&lt;/Group&gt;&lt;/Citation&gt;_x000a_"/>
    <w:docVar w:name="NE.Ref{55B4B8C6-C228-4C12-BAA4-C5385B62176E}" w:val=" ADDIN NE.Ref.{55B4B8C6-C228-4C12-BAA4-C5385B62176E}&lt;Citation&gt;&lt;Group&gt;&lt;References&gt;&lt;Item&gt;&lt;ID&gt;659&lt;/ID&gt;&lt;UID&gt;{38553E5F-A455-446D-803E-DA9488D3ED16}&lt;/UID&gt;&lt;Title&gt;Physiological underpinnings of irritable bowel syndrome: neurohormonal mechanisms&lt;/Title&gt;&lt;Template&gt;Journal Article&lt;/Template&gt;&lt;Star&gt;0&lt;/Star&gt;&lt;Tag&gt;0&lt;/Tag&gt;&lt;Author&gt;Camilleri, Michael&lt;/Author&gt;&lt;Year&gt;2014&lt;/Year&gt;&lt;Details&gt;&lt;_accessed&gt;65697034&lt;/_accessed&gt;&lt;_created&gt;65697034&lt;/_created&gt;&lt;_date&gt;60239520&lt;/_date&gt;&lt;_db_updated&gt;CrossRef&lt;/_db_updated&gt;&lt;_doi&gt;10.1113/jphysiol.2014.270892&lt;/_doi&gt;&lt;_impact_factor&gt;   5.182&lt;/_impact_factor&gt;&lt;_isbn&gt;0022-3751&lt;/_isbn&gt;&lt;_issue&gt;14&lt;/_issue&gt;&lt;_journal&gt;The Journal of Physiology&lt;/_journal&gt;&lt;_modified&gt;65697034&lt;/_modified&gt;&lt;_pages&gt;2967-2980&lt;/_pages&gt;&lt;_tertiary_title&gt;The Journal of Physiology&lt;/_tertiary_title&gt;&lt;_url&gt;https://physoc.onlinelibrary.wiley.com/doi/10.1113/jphysiol.2014.270892_x000d__x000a_https://physoc.onlinelibrary.wiley.com/doi/pdf/10.1113/jphysiol.2014.270892&lt;/_url&gt;&lt;_volume&gt;592&lt;/_volume&gt;&lt;/Details&gt;&lt;Extra&gt;&lt;DBUID&gt;{F96A950B-833F-4880-A151-76DA2D6A2879}&lt;/DBUID&gt;&lt;/Extra&gt;&lt;/Item&gt;&lt;/References&gt;&lt;/Group&gt;&lt;/Citation&gt;_x000a_"/>
    <w:docVar w:name="NE.Ref{6906E7ED-BB3B-48C4-944C-CC2774E999B8}" w:val=" ADDIN NE.Ref.{6906E7ED-BB3B-48C4-944C-CC2774E999B8}&lt;Citation&gt;&lt;Group&gt;&lt;References&gt;&lt;Item&gt;&lt;ID&gt;597&lt;/ID&gt;&lt;UID&gt;{69E56DEA-1676-4A4D-AB2D-598D03C6AAD2}&lt;/UID&gt;&lt;Title&gt;Recent developments in diagnosing bile acid diarrhea&lt;/Title&gt;&lt;Template&gt;Journal Article&lt;/Template&gt;&lt;Star&gt;0&lt;/Star&gt;&lt;Tag&gt;0&lt;/Tag&gt;&lt;Author&gt;Lupianez-Merly, Camille; Dilmaghani, Saam; Camilleri, Michael&lt;/Author&gt;&lt;Year&gt;2023&lt;/Year&gt;&lt;Details&gt;&lt;_accessed&gt;65662356&lt;/_accessed&gt;&lt;_collection_scope&gt;SCIE&lt;/_collection_scope&gt;&lt;_created&gt;65662356&lt;/_created&gt;&lt;_date&gt;64692000&lt;/_date&gt;&lt;_date_display&gt;2023&lt;/_date_display&gt;&lt;_db_updated&gt;PKU Search&lt;/_db_updated&gt;&lt;_doi&gt;10.1080/17474124.2023.2293814&lt;/_doi&gt;&lt;_impact_factor&gt;   3.869&lt;/_impact_factor&gt;&lt;_isbn&gt;1747-4124&lt;/_isbn&gt;&lt;_issue&gt;12&lt;/_issue&gt;&lt;_journal&gt;Expert review of gastroenterology &amp;amp; hepatology&lt;/_journal&gt;&lt;_modified&gt;65662356&lt;/_modified&gt;&lt;_number&gt;1&lt;/_number&gt;&lt;_pages&gt;1-1195&lt;/_pages&gt;&lt;_place_published&gt;England&lt;/_place_published&gt;&lt;_url&gt;https://go.exlibris.link/tXJ8FD2t&lt;/_url&gt;&lt;_volume&gt;17&lt;/_volume&gt;&lt;/Details&gt;&lt;Extra&gt;&lt;DBUID&gt;{F96A950B-833F-4880-A151-76DA2D6A2879}&lt;/DBUID&gt;&lt;/Extra&gt;&lt;/Item&gt;&lt;/References&gt;&lt;/Group&gt;&lt;/Citation&gt;_x000a_"/>
    <w:docVar w:name="NE.Ref{80FDE15E-A718-4C56-9240-199F313C3F69}" w:val=" ADDIN NE.Ref.{80FDE15E-A718-4C56-9240-199F313C3F69}"/>
    <w:docVar w:name="NE.Ref{E6B92E16-9345-47DA-911A-61F5BA2A5B2D}" w:val=" ADDIN NE.Ref.{E6B92E16-9345-47DA-911A-61F5BA2A5B2D}&lt;Citation&gt;&lt;Group&gt;&lt;References&gt;&lt;Item&gt;&lt;ID&gt;673&lt;/ID&gt;&lt;UID&gt;{FED965EC-8540-4D78-A9FC-7D4A908BE863}&lt;/UID&gt;&lt;Title&gt;慢性腹泻基层诊疗指南（ 2019年&lt;/Title&gt;&lt;Template&gt;Journal Article&lt;/Template&gt;&lt;Star&gt;0&lt;/Star&gt;&lt;Tag&gt;0&lt;/Tag&gt;&lt;Author/&gt;&lt;Year&gt;0&lt;/Year&gt;&lt;Details&gt;&lt;_language&gt;Chinese&lt;/_language&gt;&lt;_created&gt;65855430&lt;/_created&gt;&lt;_modified&gt;65855430&lt;/_modified&gt;&lt;/Details&gt;&lt;Extra&gt;&lt;DBUID&gt;{F96A950B-833F-4880-A151-76DA2D6A2879}&lt;/DBUID&gt;&lt;/Extra&gt;&lt;/Item&gt;&lt;/References&gt;&lt;/Group&gt;&lt;/Citation&gt;_x000a_"/>
    <w:docVar w:name="ne_build" w:val="16.0.18526"/>
    <w:docVar w:name="ne_docsoft" w:val="MSWord"/>
    <w:docVar w:name="ne_docversion" w:val="NoteExpress 2.0"/>
    <w:docVar w:name="ne_os" w:val="Mircrosoft"/>
    <w:docVar w:name="ne_platform" w:val="Word"/>
    <w:docVar w:name="ne_stylename" w:val="中华人民共和国国家标准_GBT_7714-2005"/>
  </w:docVars>
  <w:rsids>
    <w:rsidRoot w:val="00172A27"/>
    <w:rsid w:val="00014440"/>
    <w:rsid w:val="00017765"/>
    <w:rsid w:val="00043901"/>
    <w:rsid w:val="0005623C"/>
    <w:rsid w:val="00065DC3"/>
    <w:rsid w:val="00081910"/>
    <w:rsid w:val="00082ED0"/>
    <w:rsid w:val="0008659B"/>
    <w:rsid w:val="00086935"/>
    <w:rsid w:val="00086CD5"/>
    <w:rsid w:val="000A17E1"/>
    <w:rsid w:val="000A35AD"/>
    <w:rsid w:val="000A4AE7"/>
    <w:rsid w:val="000B73D5"/>
    <w:rsid w:val="000C245C"/>
    <w:rsid w:val="000C42F1"/>
    <w:rsid w:val="000E1F29"/>
    <w:rsid w:val="000E4C14"/>
    <w:rsid w:val="000E7C30"/>
    <w:rsid w:val="000F1662"/>
    <w:rsid w:val="000F49FC"/>
    <w:rsid w:val="000F72A3"/>
    <w:rsid w:val="00106672"/>
    <w:rsid w:val="00107A35"/>
    <w:rsid w:val="00131D24"/>
    <w:rsid w:val="00132244"/>
    <w:rsid w:val="00132CBB"/>
    <w:rsid w:val="00134264"/>
    <w:rsid w:val="00146E10"/>
    <w:rsid w:val="00151A74"/>
    <w:rsid w:val="00152974"/>
    <w:rsid w:val="00164B07"/>
    <w:rsid w:val="001662D0"/>
    <w:rsid w:val="00166F3E"/>
    <w:rsid w:val="00172A27"/>
    <w:rsid w:val="00181A10"/>
    <w:rsid w:val="00185AAA"/>
    <w:rsid w:val="00195CD7"/>
    <w:rsid w:val="00197597"/>
    <w:rsid w:val="001A08A9"/>
    <w:rsid w:val="001B5BC1"/>
    <w:rsid w:val="001D3BB5"/>
    <w:rsid w:val="001D4F66"/>
    <w:rsid w:val="001E125A"/>
    <w:rsid w:val="001F71F8"/>
    <w:rsid w:val="00203190"/>
    <w:rsid w:val="00203EB2"/>
    <w:rsid w:val="00210598"/>
    <w:rsid w:val="0021396E"/>
    <w:rsid w:val="00225795"/>
    <w:rsid w:val="00233916"/>
    <w:rsid w:val="00240714"/>
    <w:rsid w:val="0027004D"/>
    <w:rsid w:val="002831D4"/>
    <w:rsid w:val="002835DE"/>
    <w:rsid w:val="00284A63"/>
    <w:rsid w:val="00292E11"/>
    <w:rsid w:val="002A0D47"/>
    <w:rsid w:val="002A334E"/>
    <w:rsid w:val="002A59BF"/>
    <w:rsid w:val="002A6711"/>
    <w:rsid w:val="002B697C"/>
    <w:rsid w:val="002B7FC9"/>
    <w:rsid w:val="002D69D7"/>
    <w:rsid w:val="002E4E6A"/>
    <w:rsid w:val="002F0757"/>
    <w:rsid w:val="002F6607"/>
    <w:rsid w:val="00302530"/>
    <w:rsid w:val="003163D8"/>
    <w:rsid w:val="00324F73"/>
    <w:rsid w:val="003341C1"/>
    <w:rsid w:val="00340096"/>
    <w:rsid w:val="00343008"/>
    <w:rsid w:val="00351701"/>
    <w:rsid w:val="00352ABE"/>
    <w:rsid w:val="00352DA5"/>
    <w:rsid w:val="003613FB"/>
    <w:rsid w:val="00366918"/>
    <w:rsid w:val="00370093"/>
    <w:rsid w:val="0037256F"/>
    <w:rsid w:val="00380534"/>
    <w:rsid w:val="003860A4"/>
    <w:rsid w:val="00393E0E"/>
    <w:rsid w:val="003A00DF"/>
    <w:rsid w:val="003A4CA0"/>
    <w:rsid w:val="003D2E00"/>
    <w:rsid w:val="003E0927"/>
    <w:rsid w:val="003E2294"/>
    <w:rsid w:val="003F51E0"/>
    <w:rsid w:val="003F6911"/>
    <w:rsid w:val="003F6DAB"/>
    <w:rsid w:val="0040161B"/>
    <w:rsid w:val="004109EE"/>
    <w:rsid w:val="004218D3"/>
    <w:rsid w:val="00423835"/>
    <w:rsid w:val="0042517F"/>
    <w:rsid w:val="004323C7"/>
    <w:rsid w:val="00432669"/>
    <w:rsid w:val="00435011"/>
    <w:rsid w:val="00435CCC"/>
    <w:rsid w:val="004418F9"/>
    <w:rsid w:val="004443DD"/>
    <w:rsid w:val="00453D55"/>
    <w:rsid w:val="004611D4"/>
    <w:rsid w:val="00461C21"/>
    <w:rsid w:val="00472F8E"/>
    <w:rsid w:val="004B7CB4"/>
    <w:rsid w:val="004E66D1"/>
    <w:rsid w:val="004E7A45"/>
    <w:rsid w:val="004F778C"/>
    <w:rsid w:val="00500AB9"/>
    <w:rsid w:val="005018D1"/>
    <w:rsid w:val="005077E8"/>
    <w:rsid w:val="005103D8"/>
    <w:rsid w:val="005155BA"/>
    <w:rsid w:val="00515637"/>
    <w:rsid w:val="00526EB0"/>
    <w:rsid w:val="00531864"/>
    <w:rsid w:val="00563396"/>
    <w:rsid w:val="00564EDA"/>
    <w:rsid w:val="0056595E"/>
    <w:rsid w:val="005833DA"/>
    <w:rsid w:val="00583C9E"/>
    <w:rsid w:val="00587708"/>
    <w:rsid w:val="00593925"/>
    <w:rsid w:val="00594C82"/>
    <w:rsid w:val="005966CB"/>
    <w:rsid w:val="005A0F99"/>
    <w:rsid w:val="005A67DB"/>
    <w:rsid w:val="005B25F2"/>
    <w:rsid w:val="005B72A7"/>
    <w:rsid w:val="005C31E7"/>
    <w:rsid w:val="005D59B8"/>
    <w:rsid w:val="005F4BB7"/>
    <w:rsid w:val="00602E48"/>
    <w:rsid w:val="00605AA7"/>
    <w:rsid w:val="00606885"/>
    <w:rsid w:val="0061046F"/>
    <w:rsid w:val="006528E3"/>
    <w:rsid w:val="00654A7D"/>
    <w:rsid w:val="00663AC7"/>
    <w:rsid w:val="00663F5D"/>
    <w:rsid w:val="00666373"/>
    <w:rsid w:val="00686AF3"/>
    <w:rsid w:val="00690B5B"/>
    <w:rsid w:val="006966CD"/>
    <w:rsid w:val="006B7E3B"/>
    <w:rsid w:val="006C028C"/>
    <w:rsid w:val="006E2E94"/>
    <w:rsid w:val="006E3FCB"/>
    <w:rsid w:val="00727ACA"/>
    <w:rsid w:val="00735690"/>
    <w:rsid w:val="0076096F"/>
    <w:rsid w:val="00764B5F"/>
    <w:rsid w:val="00765831"/>
    <w:rsid w:val="00792349"/>
    <w:rsid w:val="0079581B"/>
    <w:rsid w:val="007A1665"/>
    <w:rsid w:val="007B0D73"/>
    <w:rsid w:val="007B3668"/>
    <w:rsid w:val="007B4E3A"/>
    <w:rsid w:val="007D5779"/>
    <w:rsid w:val="007E315B"/>
    <w:rsid w:val="007F00B8"/>
    <w:rsid w:val="007F208D"/>
    <w:rsid w:val="007F54C8"/>
    <w:rsid w:val="00830AD2"/>
    <w:rsid w:val="00833ABF"/>
    <w:rsid w:val="008369B8"/>
    <w:rsid w:val="008573B5"/>
    <w:rsid w:val="00863960"/>
    <w:rsid w:val="00864D97"/>
    <w:rsid w:val="00867F44"/>
    <w:rsid w:val="00870316"/>
    <w:rsid w:val="008778E8"/>
    <w:rsid w:val="00881934"/>
    <w:rsid w:val="00895E4B"/>
    <w:rsid w:val="008B04F1"/>
    <w:rsid w:val="008C1701"/>
    <w:rsid w:val="008C1C05"/>
    <w:rsid w:val="008C4126"/>
    <w:rsid w:val="008F0C87"/>
    <w:rsid w:val="008F2E36"/>
    <w:rsid w:val="008F54D8"/>
    <w:rsid w:val="00900B62"/>
    <w:rsid w:val="00905DE7"/>
    <w:rsid w:val="009078BC"/>
    <w:rsid w:val="009107DD"/>
    <w:rsid w:val="00920A20"/>
    <w:rsid w:val="00920C0B"/>
    <w:rsid w:val="0092562D"/>
    <w:rsid w:val="009307E0"/>
    <w:rsid w:val="00944392"/>
    <w:rsid w:val="009504C9"/>
    <w:rsid w:val="00951548"/>
    <w:rsid w:val="009537A2"/>
    <w:rsid w:val="009847E0"/>
    <w:rsid w:val="00985D5E"/>
    <w:rsid w:val="00991F8E"/>
    <w:rsid w:val="0099468D"/>
    <w:rsid w:val="009A5EC8"/>
    <w:rsid w:val="009B1CC4"/>
    <w:rsid w:val="009C1662"/>
    <w:rsid w:val="009E1AA6"/>
    <w:rsid w:val="009E2801"/>
    <w:rsid w:val="009E746A"/>
    <w:rsid w:val="00A0004C"/>
    <w:rsid w:val="00A062A9"/>
    <w:rsid w:val="00A06E9F"/>
    <w:rsid w:val="00A072AB"/>
    <w:rsid w:val="00A144F1"/>
    <w:rsid w:val="00A21405"/>
    <w:rsid w:val="00A23404"/>
    <w:rsid w:val="00A23B98"/>
    <w:rsid w:val="00A618D9"/>
    <w:rsid w:val="00A636AA"/>
    <w:rsid w:val="00A6758A"/>
    <w:rsid w:val="00A86E93"/>
    <w:rsid w:val="00AA4FAE"/>
    <w:rsid w:val="00AB03C3"/>
    <w:rsid w:val="00AC0DFF"/>
    <w:rsid w:val="00AD5672"/>
    <w:rsid w:val="00AE602F"/>
    <w:rsid w:val="00B01761"/>
    <w:rsid w:val="00B0363C"/>
    <w:rsid w:val="00B10921"/>
    <w:rsid w:val="00B35DD9"/>
    <w:rsid w:val="00B35E65"/>
    <w:rsid w:val="00B42999"/>
    <w:rsid w:val="00B42F12"/>
    <w:rsid w:val="00B5680D"/>
    <w:rsid w:val="00B6637B"/>
    <w:rsid w:val="00B75196"/>
    <w:rsid w:val="00B761C0"/>
    <w:rsid w:val="00BB0CA9"/>
    <w:rsid w:val="00BB7E35"/>
    <w:rsid w:val="00BD527D"/>
    <w:rsid w:val="00BD78EE"/>
    <w:rsid w:val="00BE1055"/>
    <w:rsid w:val="00BE4723"/>
    <w:rsid w:val="00BE5FA3"/>
    <w:rsid w:val="00BF1022"/>
    <w:rsid w:val="00BF55E3"/>
    <w:rsid w:val="00C12BAA"/>
    <w:rsid w:val="00C14DE4"/>
    <w:rsid w:val="00C303CE"/>
    <w:rsid w:val="00C350CF"/>
    <w:rsid w:val="00C50F5F"/>
    <w:rsid w:val="00C51C76"/>
    <w:rsid w:val="00C61BB6"/>
    <w:rsid w:val="00C65F73"/>
    <w:rsid w:val="00CB140C"/>
    <w:rsid w:val="00CB19E9"/>
    <w:rsid w:val="00CD1FBA"/>
    <w:rsid w:val="00CD4CA2"/>
    <w:rsid w:val="00CF02F5"/>
    <w:rsid w:val="00CF12A3"/>
    <w:rsid w:val="00CF2101"/>
    <w:rsid w:val="00D1321C"/>
    <w:rsid w:val="00D16438"/>
    <w:rsid w:val="00D22095"/>
    <w:rsid w:val="00D34CED"/>
    <w:rsid w:val="00D37051"/>
    <w:rsid w:val="00D41CC4"/>
    <w:rsid w:val="00D54E0B"/>
    <w:rsid w:val="00D702BF"/>
    <w:rsid w:val="00D8563C"/>
    <w:rsid w:val="00DA53B6"/>
    <w:rsid w:val="00DA589A"/>
    <w:rsid w:val="00DA7053"/>
    <w:rsid w:val="00DB111D"/>
    <w:rsid w:val="00DD5B3E"/>
    <w:rsid w:val="00DD648E"/>
    <w:rsid w:val="00DE2F71"/>
    <w:rsid w:val="00DF2699"/>
    <w:rsid w:val="00E03EFC"/>
    <w:rsid w:val="00E139D2"/>
    <w:rsid w:val="00E14A79"/>
    <w:rsid w:val="00E271B9"/>
    <w:rsid w:val="00E275DC"/>
    <w:rsid w:val="00E32380"/>
    <w:rsid w:val="00E43387"/>
    <w:rsid w:val="00E528C3"/>
    <w:rsid w:val="00E531E6"/>
    <w:rsid w:val="00E62DCB"/>
    <w:rsid w:val="00E638A3"/>
    <w:rsid w:val="00E70132"/>
    <w:rsid w:val="00E920C0"/>
    <w:rsid w:val="00E95568"/>
    <w:rsid w:val="00E970B5"/>
    <w:rsid w:val="00EA10EB"/>
    <w:rsid w:val="00EB096F"/>
    <w:rsid w:val="00ED3358"/>
    <w:rsid w:val="00ED5A84"/>
    <w:rsid w:val="00EE2A2F"/>
    <w:rsid w:val="00EF1319"/>
    <w:rsid w:val="00EF2DAA"/>
    <w:rsid w:val="00EF340A"/>
    <w:rsid w:val="00F03A98"/>
    <w:rsid w:val="00F05A7B"/>
    <w:rsid w:val="00F21304"/>
    <w:rsid w:val="00F34154"/>
    <w:rsid w:val="00F3424D"/>
    <w:rsid w:val="00F34B61"/>
    <w:rsid w:val="00F40365"/>
    <w:rsid w:val="00F52586"/>
    <w:rsid w:val="00F62FE0"/>
    <w:rsid w:val="00F70522"/>
    <w:rsid w:val="00F710E9"/>
    <w:rsid w:val="00F73425"/>
    <w:rsid w:val="00F819B0"/>
    <w:rsid w:val="00F83076"/>
    <w:rsid w:val="00F859D3"/>
    <w:rsid w:val="00FB5ED0"/>
    <w:rsid w:val="00FC73B6"/>
    <w:rsid w:val="00FC7D0E"/>
    <w:rsid w:val="00FD1358"/>
    <w:rsid w:val="00FE3F95"/>
    <w:rsid w:val="02282555"/>
    <w:rsid w:val="0440626C"/>
    <w:rsid w:val="06041A7D"/>
    <w:rsid w:val="07095D4C"/>
    <w:rsid w:val="078B503F"/>
    <w:rsid w:val="0931405B"/>
    <w:rsid w:val="0ECD7B8D"/>
    <w:rsid w:val="0FB261BD"/>
    <w:rsid w:val="102D5B9A"/>
    <w:rsid w:val="104F03D7"/>
    <w:rsid w:val="107C4FE4"/>
    <w:rsid w:val="10B3497F"/>
    <w:rsid w:val="1185364D"/>
    <w:rsid w:val="13B04D2F"/>
    <w:rsid w:val="16543F3A"/>
    <w:rsid w:val="17094A92"/>
    <w:rsid w:val="1B710A5B"/>
    <w:rsid w:val="1B8A679C"/>
    <w:rsid w:val="1D6A128C"/>
    <w:rsid w:val="1FC37F8C"/>
    <w:rsid w:val="23D35AC7"/>
    <w:rsid w:val="23E97DD8"/>
    <w:rsid w:val="24E210C0"/>
    <w:rsid w:val="29752431"/>
    <w:rsid w:val="2A175BA4"/>
    <w:rsid w:val="2B3C524E"/>
    <w:rsid w:val="2FD20996"/>
    <w:rsid w:val="306E5C64"/>
    <w:rsid w:val="31222905"/>
    <w:rsid w:val="31720253"/>
    <w:rsid w:val="31D41A73"/>
    <w:rsid w:val="32E26424"/>
    <w:rsid w:val="33412534"/>
    <w:rsid w:val="350D65EA"/>
    <w:rsid w:val="3593560B"/>
    <w:rsid w:val="35FC46F8"/>
    <w:rsid w:val="38277DB5"/>
    <w:rsid w:val="3A1273B5"/>
    <w:rsid w:val="3AA64668"/>
    <w:rsid w:val="3B5878C5"/>
    <w:rsid w:val="3B8C6144"/>
    <w:rsid w:val="3BAB1098"/>
    <w:rsid w:val="3C2A082D"/>
    <w:rsid w:val="3D0351A0"/>
    <w:rsid w:val="40C20250"/>
    <w:rsid w:val="418E58C6"/>
    <w:rsid w:val="421D3616"/>
    <w:rsid w:val="49DF34BC"/>
    <w:rsid w:val="4A464267"/>
    <w:rsid w:val="4C922AAF"/>
    <w:rsid w:val="4CF01427"/>
    <w:rsid w:val="4DBE7C44"/>
    <w:rsid w:val="4DD17A3A"/>
    <w:rsid w:val="51015D6B"/>
    <w:rsid w:val="513B732B"/>
    <w:rsid w:val="520C4400"/>
    <w:rsid w:val="52126ABE"/>
    <w:rsid w:val="581A0A37"/>
    <w:rsid w:val="58821375"/>
    <w:rsid w:val="58C638F3"/>
    <w:rsid w:val="5BED775E"/>
    <w:rsid w:val="63031017"/>
    <w:rsid w:val="63E17E42"/>
    <w:rsid w:val="66102505"/>
    <w:rsid w:val="665F4EA2"/>
    <w:rsid w:val="69393DC1"/>
    <w:rsid w:val="6AC57A63"/>
    <w:rsid w:val="6AE24ADE"/>
    <w:rsid w:val="6C9424F7"/>
    <w:rsid w:val="6CD55BE9"/>
    <w:rsid w:val="6CEF0D8E"/>
    <w:rsid w:val="7058674D"/>
    <w:rsid w:val="71C76056"/>
    <w:rsid w:val="75177696"/>
    <w:rsid w:val="78104B40"/>
    <w:rsid w:val="78132A09"/>
    <w:rsid w:val="7817494C"/>
    <w:rsid w:val="7BDD6D58"/>
    <w:rsid w:val="7C2F7BF3"/>
    <w:rsid w:val="7CDE5123"/>
    <w:rsid w:val="7D2E4B27"/>
    <w:rsid w:val="7F14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footer"/>
    <w:basedOn w:val="1"/>
    <w:link w:val="17"/>
    <w:qFormat/>
    <w:uiPriority w:val="0"/>
    <w:pPr>
      <w:tabs>
        <w:tab w:val="center" w:pos="4153"/>
        <w:tab w:val="right" w:pos="8306"/>
      </w:tabs>
      <w:snapToGrid w:val="0"/>
      <w:jc w:val="left"/>
    </w:pPr>
    <w:rPr>
      <w:sz w:val="18"/>
      <w:szCs w:val="18"/>
    </w:rPr>
  </w:style>
  <w:style w:type="paragraph" w:styleId="4">
    <w:name w:val="header"/>
    <w:basedOn w:val="1"/>
    <w:link w:val="16"/>
    <w:qFormat/>
    <w:uiPriority w:val="0"/>
    <w:pPr>
      <w:tabs>
        <w:tab w:val="center" w:pos="4153"/>
        <w:tab w:val="right" w:pos="8306"/>
      </w:tabs>
      <w:snapToGrid w:val="0"/>
      <w:jc w:val="center"/>
    </w:pPr>
    <w:rPr>
      <w:sz w:val="18"/>
      <w:szCs w:val="18"/>
    </w:rPr>
  </w:style>
  <w:style w:type="paragraph" w:styleId="5">
    <w:name w:val="Normal (Web)"/>
    <w:basedOn w:val="1"/>
    <w:qFormat/>
    <w:uiPriority w:val="0"/>
    <w:rPr>
      <w:rFonts w:ascii="Times New Roman" w:hAnsi="Times New Roman" w:cs="Times New Roman"/>
    </w:rPr>
  </w:style>
  <w:style w:type="paragraph" w:styleId="6">
    <w:name w:val="annotation subject"/>
    <w:basedOn w:val="2"/>
    <w:next w:val="2"/>
    <w:link w:val="15"/>
    <w:qFormat/>
    <w:uiPriority w:val="0"/>
    <w:rPr>
      <w:b/>
      <w:bCs/>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paragraph" w:customStyle="1" w:styleId="12">
    <w:name w:val="书目1"/>
    <w:basedOn w:val="1"/>
    <w:next w:val="1"/>
    <w:unhideWhenUsed/>
    <w:qFormat/>
    <w:uiPriority w:val="37"/>
    <w:pPr>
      <w:tabs>
        <w:tab w:val="left" w:pos="384"/>
      </w:tabs>
      <w:ind w:left="384" w:hanging="384"/>
    </w:pPr>
  </w:style>
  <w:style w:type="paragraph" w:customStyle="1" w:styleId="13">
    <w:name w:val="修订1"/>
    <w:hidden/>
    <w:unhideWhenUsed/>
    <w:qFormat/>
    <w:uiPriority w:val="99"/>
    <w:rPr>
      <w:rFonts w:asciiTheme="minorHAnsi" w:hAnsiTheme="minorHAnsi" w:eastAsiaTheme="minorEastAsia" w:cstheme="minorBidi"/>
      <w:kern w:val="2"/>
      <w:sz w:val="24"/>
      <w:szCs w:val="24"/>
      <w:lang w:val="en-US" w:eastAsia="zh-CN" w:bidi="ar-SA"/>
    </w:rPr>
  </w:style>
  <w:style w:type="character" w:customStyle="1" w:styleId="14">
    <w:name w:val="批注文字 字符"/>
    <w:basedOn w:val="9"/>
    <w:link w:val="2"/>
    <w:qFormat/>
    <w:uiPriority w:val="0"/>
    <w:rPr>
      <w:rFonts w:asciiTheme="minorHAnsi" w:hAnsiTheme="minorHAnsi" w:eastAsiaTheme="minorEastAsia" w:cstheme="minorBidi"/>
      <w:kern w:val="2"/>
      <w:sz w:val="24"/>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4"/>
      <w:szCs w:val="24"/>
    </w:rPr>
  </w:style>
  <w:style w:type="character" w:customStyle="1" w:styleId="16">
    <w:name w:val="页眉 字符"/>
    <w:basedOn w:val="9"/>
    <w:link w:val="4"/>
    <w:qFormat/>
    <w:uiPriority w:val="0"/>
    <w:rPr>
      <w:rFonts w:asciiTheme="minorHAnsi" w:hAnsiTheme="minorHAnsi" w:eastAsiaTheme="minorEastAsia" w:cstheme="minorBidi"/>
      <w:kern w:val="2"/>
      <w:sz w:val="18"/>
      <w:szCs w:val="18"/>
    </w:rPr>
  </w:style>
  <w:style w:type="character" w:customStyle="1" w:styleId="17">
    <w:name w:val="页脚 字符"/>
    <w:basedOn w:val="9"/>
    <w:link w:val="3"/>
    <w:qFormat/>
    <w:uiPriority w:val="0"/>
    <w:rPr>
      <w:rFonts w:asciiTheme="minorHAnsi" w:hAnsiTheme="minorHAnsi" w:eastAsiaTheme="minorEastAsia" w:cstheme="minorBidi"/>
      <w:kern w:val="2"/>
      <w:sz w:val="18"/>
      <w:szCs w:val="18"/>
    </w:rPr>
  </w:style>
  <w:style w:type="paragraph" w:styleId="18">
    <w:name w:val="List Paragraph"/>
    <w:basedOn w:val="1"/>
    <w:unhideWhenUsed/>
    <w:qFormat/>
    <w:uiPriority w:val="99"/>
    <w:pPr>
      <w:ind w:firstLine="420" w:firstLineChars="200"/>
    </w:pPr>
  </w:style>
  <w:style w:type="paragraph" w:customStyle="1" w:styleId="19">
    <w:name w:val="书目2"/>
    <w:basedOn w:val="1"/>
    <w:next w:val="1"/>
    <w:unhideWhenUsed/>
    <w:qFormat/>
    <w:uiPriority w:val="37"/>
  </w:style>
  <w:style w:type="paragraph" w:customStyle="1" w:styleId="20">
    <w:name w:val="书目3"/>
    <w:basedOn w:val="1"/>
    <w:next w:val="1"/>
    <w:unhideWhenUsed/>
    <w:qFormat/>
    <w:uiPriority w:val="37"/>
  </w:style>
  <w:style w:type="paragraph" w:customStyle="1" w:styleId="21">
    <w:name w:val="书目4"/>
    <w:basedOn w:val="1"/>
    <w:next w:val="1"/>
    <w:unhideWhenUsed/>
    <w:qFormat/>
    <w:uiPriority w:val="37"/>
  </w:style>
  <w:style w:type="paragraph" w:customStyle="1" w:styleId="22">
    <w:name w:val="书目5"/>
    <w:basedOn w:val="1"/>
    <w:next w:val="1"/>
    <w:unhideWhenUsed/>
    <w:qFormat/>
    <w:uiPriority w:val="37"/>
  </w:style>
  <w:style w:type="paragraph" w:customStyle="1" w:styleId="23">
    <w:name w:val="书目6"/>
    <w:basedOn w:val="1"/>
    <w:next w:val="1"/>
    <w:unhideWhenUsed/>
    <w:qFormat/>
    <w:uiPriority w:val="37"/>
  </w:style>
  <w:style w:type="paragraph" w:customStyle="1" w:styleId="24">
    <w:name w:val="Bibliography"/>
    <w:basedOn w:val="1"/>
    <w:next w:val="1"/>
    <w:unhideWhenUsed/>
    <w:qFormat/>
    <w:uiPriority w:val="37"/>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tif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D518C-3777-44E4-BB2E-A6F43008D5A3}">
  <ds:schemaRefs/>
</ds:datastoreItem>
</file>

<file path=docProps/app.xml><?xml version="1.0" encoding="utf-8"?>
<Properties xmlns="http://schemas.openxmlformats.org/officeDocument/2006/extended-properties" xmlns:vt="http://schemas.openxmlformats.org/officeDocument/2006/docPropsVTypes">
  <Template>Normal</Template>
  <Pages>12</Pages>
  <Words>1693</Words>
  <Characters>9713</Characters>
  <Lines>602</Lines>
  <Paragraphs>169</Paragraphs>
  <TotalTime>0</TotalTime>
  <ScaleCrop>false</ScaleCrop>
  <LinksUpToDate>false</LinksUpToDate>
  <CharactersWithSpaces>11373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2025-04-27T13:14:00Z</dcterms:created>
  <dc:creator>你曾是少年</dc:creator>
  <cp:lastModifiedBy>你曾是少年</cp:lastModifiedBy>
  <dcterms:modified xsi:type="dcterms:W3CDTF">2025-10-23T10:13:53Z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D8BD535A67124B96A37FE0F5B0DCD3AF_11</vt:lpwstr>
  </property>
  <property fmtid="{D5CDD505-2E9C-101B-9397-08002B2CF9AE}" pid="4" name="KSOTemplateDocerSaveRecord">
    <vt:lpwstr>eyJoZGlkIjoiMzZhMTU5OTBkYTE1ZTg0Mzk5MTljOTgxMDQxNWMzNWQiLCJ1c2VySWQiOiIzMTQ5ODUyODUifQ==</vt:lpwstr>
  </property>
  <property fmtid="{D5CDD505-2E9C-101B-9397-08002B2CF9AE}" pid="5" name="ZOTERO_PREF_1">
    <vt:lpwstr>&lt;data data-version="3" zotero-version="7.0.16"&gt;&lt;session id="HhPgHpOP"/&gt;&lt;style id="http://www.zotero.org/styles/china-national-standard-gb-t-7714-2015-numeric" hasBibliography="1" bibliographyStyleHasBeenSet="1"/&gt;&lt;prefs&gt;&lt;pref name="fieldType" value="Field"</vt:lpwstr>
  </property>
  <property fmtid="{D5CDD505-2E9C-101B-9397-08002B2CF9AE}" pid="6" name="ZOTERO_PREF_2">
    <vt:lpwstr>/&gt;&lt;pref name="automaticJournalAbbreviations" value="true"/&gt;&lt;/prefs&gt;&lt;/data&gt;</vt:lpwstr>
  </property>
</Properties>
</file>